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8431A">
      <w:pPr>
        <w:tabs>
          <w:tab w:val="left" w:pos="1101"/>
        </w:tabs>
        <w:snapToGrid w:val="0"/>
        <w:spacing w:line="539" w:lineRule="exact"/>
        <w:ind w:right="1"/>
        <w:rPr>
          <w:rStyle w:val="41"/>
          <w:rFonts w:ascii="宋体"/>
          <w:sz w:val="44"/>
        </w:rPr>
      </w:pPr>
    </w:p>
    <w:p w14:paraId="1BB17098">
      <w:pPr>
        <w:tabs>
          <w:tab w:val="left" w:pos="1101"/>
        </w:tabs>
        <w:snapToGrid w:val="0"/>
        <w:spacing w:line="539" w:lineRule="exact"/>
        <w:ind w:right="1"/>
        <w:jc w:val="center"/>
        <w:rPr>
          <w:rStyle w:val="41"/>
          <w:rFonts w:ascii="宋体"/>
          <w:b/>
          <w:sz w:val="44"/>
        </w:rPr>
      </w:pPr>
    </w:p>
    <w:p w14:paraId="745C4CE9">
      <w:pPr>
        <w:snapToGrid w:val="0"/>
        <w:spacing w:line="360" w:lineRule="auto"/>
        <w:jc w:val="center"/>
        <w:rPr>
          <w:rStyle w:val="41"/>
          <w:rFonts w:ascii="宋体" w:hAnsi="宋体"/>
          <w:b/>
          <w:sz w:val="44"/>
          <w:szCs w:val="44"/>
        </w:rPr>
      </w:pPr>
      <w:r>
        <w:rPr>
          <w:rStyle w:val="41"/>
          <w:rFonts w:hint="eastAsia" w:ascii="宋体" w:hAnsi="宋体"/>
          <w:b/>
          <w:sz w:val="44"/>
          <w:szCs w:val="44"/>
        </w:rPr>
        <w:t>G0611川主寺至汶川段高速公路项目</w:t>
      </w:r>
    </w:p>
    <w:p w14:paraId="2781E438">
      <w:pPr>
        <w:snapToGrid w:val="0"/>
        <w:spacing w:line="360" w:lineRule="auto"/>
        <w:jc w:val="center"/>
        <w:rPr>
          <w:rStyle w:val="41"/>
          <w:rFonts w:ascii="宋体"/>
          <w:b/>
          <w:sz w:val="44"/>
          <w:szCs w:val="44"/>
        </w:rPr>
      </w:pPr>
      <w:r>
        <w:rPr>
          <w:rStyle w:val="41"/>
          <w:rFonts w:hint="eastAsia" w:ascii="宋体" w:hAnsi="宋体"/>
          <w:b/>
          <w:sz w:val="44"/>
          <w:szCs w:val="44"/>
        </w:rPr>
        <w:t>先期开工点施工监理试验室</w:t>
      </w:r>
    </w:p>
    <w:p w14:paraId="4D7697CA">
      <w:pPr>
        <w:snapToGrid w:val="0"/>
        <w:spacing w:line="360" w:lineRule="auto"/>
        <w:rPr>
          <w:rStyle w:val="41"/>
          <w:rFonts w:ascii="宋体"/>
          <w:b/>
          <w:sz w:val="32"/>
        </w:rPr>
      </w:pPr>
    </w:p>
    <w:p w14:paraId="12300D0A">
      <w:pPr>
        <w:tabs>
          <w:tab w:val="left" w:pos="5907"/>
        </w:tabs>
        <w:snapToGrid w:val="0"/>
        <w:spacing w:line="360" w:lineRule="auto"/>
        <w:rPr>
          <w:rStyle w:val="41"/>
          <w:rFonts w:ascii="宋体"/>
          <w:b/>
          <w:sz w:val="32"/>
        </w:rPr>
      </w:pPr>
      <w:r>
        <w:rPr>
          <w:rStyle w:val="41"/>
          <w:rFonts w:ascii="宋体"/>
          <w:b/>
          <w:sz w:val="32"/>
        </w:rPr>
        <w:tab/>
      </w:r>
    </w:p>
    <w:p w14:paraId="60950E31">
      <w:pPr>
        <w:snapToGrid w:val="0"/>
        <w:rPr>
          <w:rStyle w:val="41"/>
          <w:rFonts w:ascii="宋体"/>
          <w:b/>
          <w:sz w:val="32"/>
        </w:rPr>
      </w:pPr>
    </w:p>
    <w:p w14:paraId="0B470207">
      <w:pPr>
        <w:snapToGrid w:val="0"/>
        <w:jc w:val="center"/>
        <w:rPr>
          <w:rStyle w:val="41"/>
          <w:rFonts w:ascii="宋体" w:hAnsi="宋体"/>
          <w:b/>
          <w:sz w:val="84"/>
        </w:rPr>
      </w:pPr>
    </w:p>
    <w:p w14:paraId="4E3ABD27">
      <w:pPr>
        <w:snapToGrid w:val="0"/>
        <w:jc w:val="center"/>
        <w:rPr>
          <w:rStyle w:val="41"/>
          <w:rFonts w:ascii="宋体" w:hAnsi="宋体"/>
          <w:b/>
          <w:sz w:val="84"/>
        </w:rPr>
      </w:pPr>
    </w:p>
    <w:p w14:paraId="18179B41">
      <w:pPr>
        <w:snapToGrid w:val="0"/>
        <w:jc w:val="center"/>
        <w:rPr>
          <w:rStyle w:val="41"/>
          <w:rFonts w:ascii="宋体"/>
          <w:b/>
          <w:sz w:val="84"/>
        </w:rPr>
      </w:pPr>
      <w:r>
        <w:rPr>
          <w:rStyle w:val="41"/>
          <w:rFonts w:ascii="宋体" w:hAnsi="宋体"/>
          <w:b/>
          <w:sz w:val="84"/>
        </w:rPr>
        <w:t>比 选 文 件</w:t>
      </w:r>
    </w:p>
    <w:p w14:paraId="7297BB94">
      <w:pPr>
        <w:snapToGrid w:val="0"/>
        <w:spacing w:line="200" w:lineRule="exact"/>
        <w:rPr>
          <w:rStyle w:val="41"/>
          <w:rFonts w:ascii="宋体"/>
          <w:b/>
          <w:sz w:val="20"/>
        </w:rPr>
      </w:pPr>
    </w:p>
    <w:p w14:paraId="3E0C5479">
      <w:pPr>
        <w:snapToGrid w:val="0"/>
        <w:spacing w:line="200" w:lineRule="exact"/>
        <w:rPr>
          <w:rStyle w:val="41"/>
          <w:rFonts w:ascii="宋体"/>
          <w:b/>
          <w:sz w:val="20"/>
        </w:rPr>
      </w:pPr>
    </w:p>
    <w:p w14:paraId="2F23F670">
      <w:pPr>
        <w:snapToGrid w:val="0"/>
        <w:spacing w:line="200" w:lineRule="exact"/>
        <w:rPr>
          <w:rStyle w:val="41"/>
          <w:rFonts w:ascii="宋体"/>
          <w:b/>
          <w:sz w:val="20"/>
        </w:rPr>
      </w:pPr>
    </w:p>
    <w:p w14:paraId="0CBCD36E">
      <w:pPr>
        <w:snapToGrid w:val="0"/>
        <w:spacing w:line="200" w:lineRule="exact"/>
        <w:jc w:val="center"/>
        <w:rPr>
          <w:rStyle w:val="41"/>
          <w:rFonts w:ascii="宋体"/>
          <w:b/>
        </w:rPr>
      </w:pPr>
    </w:p>
    <w:p w14:paraId="7940FDF6">
      <w:pPr>
        <w:snapToGrid w:val="0"/>
        <w:spacing w:line="200" w:lineRule="exact"/>
        <w:jc w:val="center"/>
        <w:rPr>
          <w:rStyle w:val="41"/>
          <w:rFonts w:ascii="宋体"/>
          <w:b/>
        </w:rPr>
      </w:pPr>
    </w:p>
    <w:p w14:paraId="038655B2">
      <w:pPr>
        <w:snapToGrid w:val="0"/>
        <w:spacing w:line="200" w:lineRule="exact"/>
        <w:jc w:val="center"/>
        <w:rPr>
          <w:rStyle w:val="41"/>
          <w:rFonts w:ascii="宋体"/>
          <w:b/>
        </w:rPr>
      </w:pPr>
    </w:p>
    <w:p w14:paraId="1EBA5219">
      <w:pPr>
        <w:snapToGrid w:val="0"/>
        <w:spacing w:line="200" w:lineRule="exact"/>
        <w:rPr>
          <w:rStyle w:val="41"/>
          <w:rFonts w:ascii="宋体"/>
          <w:b/>
          <w:sz w:val="20"/>
        </w:rPr>
      </w:pPr>
    </w:p>
    <w:p w14:paraId="4C78C97F">
      <w:pPr>
        <w:snapToGrid w:val="0"/>
        <w:spacing w:line="200" w:lineRule="exact"/>
        <w:rPr>
          <w:rStyle w:val="41"/>
          <w:rFonts w:ascii="宋体"/>
          <w:b/>
          <w:sz w:val="20"/>
        </w:rPr>
      </w:pPr>
    </w:p>
    <w:p w14:paraId="1B475C4D">
      <w:pPr>
        <w:snapToGrid w:val="0"/>
        <w:spacing w:line="200" w:lineRule="exact"/>
        <w:rPr>
          <w:rStyle w:val="41"/>
          <w:rFonts w:ascii="宋体"/>
          <w:b/>
          <w:sz w:val="20"/>
        </w:rPr>
      </w:pPr>
    </w:p>
    <w:p w14:paraId="68BDC60F">
      <w:pPr>
        <w:snapToGrid w:val="0"/>
        <w:spacing w:line="200" w:lineRule="exact"/>
        <w:rPr>
          <w:rStyle w:val="41"/>
          <w:rFonts w:ascii="宋体"/>
          <w:b/>
          <w:sz w:val="20"/>
        </w:rPr>
      </w:pPr>
    </w:p>
    <w:p w14:paraId="7E7A9241">
      <w:pPr>
        <w:snapToGrid w:val="0"/>
        <w:spacing w:line="200" w:lineRule="exact"/>
        <w:rPr>
          <w:rStyle w:val="41"/>
          <w:rFonts w:ascii="宋体"/>
          <w:b/>
          <w:sz w:val="20"/>
        </w:rPr>
      </w:pPr>
    </w:p>
    <w:p w14:paraId="17C55C19">
      <w:pPr>
        <w:snapToGrid w:val="0"/>
        <w:spacing w:line="200" w:lineRule="exact"/>
        <w:rPr>
          <w:rStyle w:val="41"/>
          <w:rFonts w:ascii="宋体"/>
          <w:b/>
          <w:sz w:val="20"/>
        </w:rPr>
      </w:pPr>
    </w:p>
    <w:p w14:paraId="3C8963C2">
      <w:pPr>
        <w:snapToGrid w:val="0"/>
        <w:spacing w:line="200" w:lineRule="exact"/>
        <w:rPr>
          <w:rStyle w:val="41"/>
          <w:rFonts w:ascii="宋体"/>
          <w:b/>
          <w:sz w:val="20"/>
        </w:rPr>
      </w:pPr>
    </w:p>
    <w:p w14:paraId="3F03A5C4">
      <w:pPr>
        <w:snapToGrid w:val="0"/>
        <w:spacing w:line="200" w:lineRule="exact"/>
        <w:rPr>
          <w:rStyle w:val="41"/>
          <w:rFonts w:ascii="宋体"/>
          <w:b/>
          <w:sz w:val="20"/>
        </w:rPr>
      </w:pPr>
    </w:p>
    <w:p w14:paraId="7E488945">
      <w:pPr>
        <w:snapToGrid w:val="0"/>
        <w:spacing w:line="200" w:lineRule="exact"/>
        <w:rPr>
          <w:rStyle w:val="41"/>
          <w:rFonts w:ascii="宋体"/>
          <w:b/>
          <w:sz w:val="20"/>
        </w:rPr>
      </w:pPr>
    </w:p>
    <w:p w14:paraId="5960B3D3">
      <w:pPr>
        <w:snapToGrid w:val="0"/>
        <w:spacing w:line="200" w:lineRule="exact"/>
        <w:rPr>
          <w:rStyle w:val="41"/>
          <w:rFonts w:ascii="宋体"/>
          <w:b/>
          <w:sz w:val="20"/>
        </w:rPr>
      </w:pPr>
    </w:p>
    <w:p w14:paraId="04F11254">
      <w:pPr>
        <w:snapToGrid w:val="0"/>
        <w:spacing w:line="200" w:lineRule="exact"/>
        <w:rPr>
          <w:rStyle w:val="41"/>
          <w:rFonts w:ascii="宋体"/>
          <w:b/>
          <w:sz w:val="20"/>
        </w:rPr>
      </w:pPr>
    </w:p>
    <w:p w14:paraId="7117B130">
      <w:pPr>
        <w:snapToGrid w:val="0"/>
        <w:spacing w:line="200" w:lineRule="exact"/>
        <w:rPr>
          <w:rStyle w:val="41"/>
          <w:rFonts w:ascii="宋体"/>
          <w:b/>
          <w:sz w:val="20"/>
        </w:rPr>
      </w:pPr>
    </w:p>
    <w:p w14:paraId="682A9EDD">
      <w:pPr>
        <w:snapToGrid w:val="0"/>
        <w:spacing w:line="200" w:lineRule="exact"/>
        <w:rPr>
          <w:rStyle w:val="41"/>
          <w:rFonts w:ascii="宋体"/>
          <w:b/>
          <w:sz w:val="20"/>
        </w:rPr>
      </w:pPr>
    </w:p>
    <w:p w14:paraId="549A22FC">
      <w:pPr>
        <w:snapToGrid w:val="0"/>
        <w:spacing w:line="200" w:lineRule="exact"/>
        <w:rPr>
          <w:rStyle w:val="41"/>
          <w:rFonts w:ascii="宋体"/>
          <w:b/>
          <w:sz w:val="20"/>
        </w:rPr>
      </w:pPr>
    </w:p>
    <w:p w14:paraId="66DF9FD3">
      <w:pPr>
        <w:snapToGrid w:val="0"/>
        <w:spacing w:line="200" w:lineRule="exact"/>
        <w:rPr>
          <w:rStyle w:val="41"/>
          <w:rFonts w:ascii="宋体"/>
          <w:b/>
          <w:sz w:val="20"/>
        </w:rPr>
      </w:pPr>
    </w:p>
    <w:p w14:paraId="71BE447A">
      <w:pPr>
        <w:snapToGrid w:val="0"/>
        <w:spacing w:line="200" w:lineRule="exact"/>
        <w:rPr>
          <w:rStyle w:val="41"/>
          <w:rFonts w:ascii="宋体"/>
          <w:b/>
          <w:sz w:val="20"/>
        </w:rPr>
      </w:pPr>
    </w:p>
    <w:p w14:paraId="5DA124FA">
      <w:pPr>
        <w:pStyle w:val="94"/>
        <w:snapToGrid w:val="0"/>
        <w:spacing w:line="360" w:lineRule="auto"/>
        <w:jc w:val="center"/>
        <w:outlineLvl w:val="0"/>
        <w:rPr>
          <w:rStyle w:val="41"/>
          <w:rFonts w:ascii="宋体"/>
          <w:b/>
          <w:sz w:val="36"/>
        </w:rPr>
      </w:pPr>
      <w:r>
        <w:rPr>
          <w:rStyle w:val="41"/>
          <w:rFonts w:ascii="宋体" w:hAnsi="宋体"/>
          <w:b/>
          <w:sz w:val="36"/>
        </w:rPr>
        <w:t>比选人：四川汶马高速公路有限责任公司</w:t>
      </w:r>
    </w:p>
    <w:p w14:paraId="703A8746">
      <w:pPr>
        <w:pStyle w:val="94"/>
        <w:snapToGrid w:val="0"/>
        <w:spacing w:line="360" w:lineRule="auto"/>
        <w:jc w:val="center"/>
        <w:outlineLvl w:val="0"/>
        <w:rPr>
          <w:rStyle w:val="41"/>
          <w:rFonts w:ascii="宋体"/>
          <w:b/>
          <w:sz w:val="36"/>
        </w:rPr>
      </w:pPr>
      <w:r>
        <w:rPr>
          <w:rStyle w:val="41"/>
          <w:rFonts w:ascii="宋体" w:hAnsi="宋体"/>
          <w:b/>
          <w:sz w:val="36"/>
        </w:rPr>
        <w:t>日期：二○二</w:t>
      </w:r>
      <w:r>
        <w:rPr>
          <w:rStyle w:val="41"/>
          <w:rFonts w:hint="eastAsia" w:ascii="宋体" w:hAnsi="宋体"/>
          <w:b/>
          <w:sz w:val="36"/>
        </w:rPr>
        <w:t>四</w:t>
      </w:r>
      <w:r>
        <w:rPr>
          <w:rStyle w:val="41"/>
          <w:rFonts w:ascii="宋体" w:hAnsi="宋体"/>
          <w:b/>
          <w:sz w:val="36"/>
        </w:rPr>
        <w:t>年</w:t>
      </w:r>
      <w:r>
        <w:rPr>
          <w:rStyle w:val="41"/>
          <w:rFonts w:hint="eastAsia" w:ascii="宋体" w:hAnsi="宋体"/>
          <w:b/>
          <w:sz w:val="36"/>
        </w:rPr>
        <w:t>九</w:t>
      </w:r>
      <w:r>
        <w:rPr>
          <w:rStyle w:val="41"/>
          <w:rFonts w:ascii="宋体" w:hAnsi="宋体"/>
          <w:b/>
          <w:sz w:val="36"/>
        </w:rPr>
        <w:t>月</w:t>
      </w:r>
    </w:p>
    <w:p w14:paraId="5726682B">
      <w:pPr>
        <w:spacing w:before="120" w:beforeLines="50" w:after="120" w:afterLines="50" w:line="360" w:lineRule="auto"/>
        <w:jc w:val="center"/>
        <w:rPr>
          <w:rFonts w:ascii="宋体" w:hAnsi="宋体" w:cs="宋体"/>
          <w:b/>
          <w:spacing w:val="1"/>
          <w:w w:val="95"/>
          <w:sz w:val="32"/>
          <w:szCs w:val="32"/>
        </w:rPr>
        <w:sectPr>
          <w:headerReference r:id="rId3" w:type="default"/>
          <w:footerReference r:id="rId4" w:type="default"/>
          <w:pgSz w:w="11906" w:h="16840"/>
          <w:pgMar w:top="1060" w:right="1678" w:bottom="280" w:left="1678" w:header="850" w:footer="850" w:gutter="0"/>
          <w:cols w:space="425" w:num="1"/>
        </w:sectPr>
      </w:pPr>
    </w:p>
    <w:p w14:paraId="003E2840">
      <w:pPr>
        <w:spacing w:before="120" w:beforeLines="50" w:after="120" w:afterLines="50" w:line="360" w:lineRule="auto"/>
        <w:jc w:val="center"/>
        <w:rPr>
          <w:rFonts w:ascii="宋体" w:hAnsi="宋体" w:cs="宋体"/>
          <w:b/>
          <w:spacing w:val="1"/>
          <w:w w:val="95"/>
          <w:sz w:val="32"/>
          <w:szCs w:val="32"/>
        </w:rPr>
      </w:pPr>
      <w:r>
        <w:rPr>
          <w:rFonts w:hint="eastAsia" w:ascii="宋体" w:hAnsi="宋体" w:cs="宋体"/>
          <w:b/>
          <w:spacing w:val="1"/>
          <w:w w:val="95"/>
          <w:sz w:val="32"/>
          <w:szCs w:val="32"/>
        </w:rPr>
        <w:t>前  言</w:t>
      </w:r>
    </w:p>
    <w:p w14:paraId="7BBC176B">
      <w:pPr>
        <w:pStyle w:val="11"/>
        <w:spacing w:before="120" w:beforeLines="50" w:after="120" w:afterLines="50" w:line="360" w:lineRule="auto"/>
        <w:ind w:firstLine="480" w:firstLineChars="200"/>
        <w:rPr>
          <w:rFonts w:hAnsi="宋体"/>
          <w:b/>
        </w:rPr>
      </w:pPr>
      <w:r>
        <w:rPr>
          <w:rFonts w:hint="eastAsia" w:hAnsi="宋体"/>
        </w:rPr>
        <w:t>本比选文件是依据国家有关法律法规、蜀道集团、藏高公司和比选人有关办法</w:t>
      </w:r>
      <w:r>
        <w:rPr>
          <w:rFonts w:hAnsi="宋体"/>
        </w:rPr>
        <w:t>为依据</w:t>
      </w:r>
      <w:r>
        <w:rPr>
          <w:rFonts w:hint="eastAsia" w:hAnsi="宋体"/>
        </w:rPr>
        <w:t>，由比选人结合本项目实际情况编写的。</w:t>
      </w:r>
    </w:p>
    <w:p w14:paraId="69592C83">
      <w:pPr>
        <w:pStyle w:val="11"/>
        <w:spacing w:before="120" w:beforeLines="50" w:after="120" w:afterLines="50" w:line="360" w:lineRule="auto"/>
        <w:ind w:firstLine="480" w:firstLineChars="200"/>
        <w:rPr>
          <w:rFonts w:hAnsi="宋体"/>
        </w:rPr>
      </w:pPr>
    </w:p>
    <w:p w14:paraId="09ECBF1C">
      <w:pPr>
        <w:pStyle w:val="11"/>
        <w:spacing w:before="120" w:beforeLines="50" w:after="120" w:afterLines="50" w:line="360" w:lineRule="auto"/>
        <w:ind w:firstLine="480" w:firstLineChars="200"/>
        <w:rPr>
          <w:rFonts w:hAnsi="宋体"/>
        </w:rPr>
      </w:pPr>
    </w:p>
    <w:p w14:paraId="62AA5DDC">
      <w:pPr>
        <w:pStyle w:val="11"/>
        <w:spacing w:before="120" w:beforeLines="50" w:after="120" w:afterLines="50" w:line="360" w:lineRule="auto"/>
        <w:ind w:firstLine="480" w:firstLineChars="200"/>
        <w:rPr>
          <w:rFonts w:hAnsi="宋体"/>
        </w:rPr>
      </w:pPr>
    </w:p>
    <w:p w14:paraId="7F1BDBE0">
      <w:pPr>
        <w:pStyle w:val="11"/>
        <w:spacing w:before="120" w:beforeLines="50" w:after="120" w:afterLines="50" w:line="360" w:lineRule="auto"/>
        <w:ind w:firstLine="480" w:firstLineChars="200"/>
        <w:rPr>
          <w:rFonts w:hAnsi="宋体"/>
        </w:rPr>
      </w:pPr>
      <w:r>
        <w:rPr>
          <w:rFonts w:hint="eastAsia" w:hAnsi="宋体"/>
        </w:rPr>
        <w:t>执行中如对本文件进行任何修改都须经比选人书面同意。</w:t>
      </w:r>
    </w:p>
    <w:p w14:paraId="5570FB58">
      <w:pPr>
        <w:pStyle w:val="11"/>
        <w:spacing w:before="120" w:beforeLines="50" w:after="120" w:afterLines="50" w:line="360" w:lineRule="auto"/>
        <w:ind w:firstLine="480" w:firstLineChars="200"/>
        <w:rPr>
          <w:rFonts w:hAnsi="宋体"/>
        </w:rPr>
      </w:pPr>
      <w:r>
        <w:rPr>
          <w:rFonts w:hint="eastAsia" w:hAnsi="宋体"/>
        </w:rPr>
        <w:t>本比选文件的解释权归比选人。</w:t>
      </w:r>
    </w:p>
    <w:p w14:paraId="40D8283C">
      <w:pPr>
        <w:pStyle w:val="11"/>
        <w:spacing w:before="120" w:beforeLines="50" w:after="120" w:afterLines="50" w:line="360" w:lineRule="auto"/>
        <w:ind w:firstLine="480" w:firstLineChars="200"/>
        <w:rPr>
          <w:rFonts w:hAnsi="宋体"/>
        </w:rPr>
      </w:pPr>
      <w:r>
        <w:rPr>
          <w:rFonts w:hint="eastAsia" w:hAnsi="宋体"/>
        </w:rPr>
        <w:t>本比选文件未经许可不得翻印，否则将依法予以追究。</w:t>
      </w:r>
    </w:p>
    <w:p w14:paraId="04F53B82">
      <w:pPr>
        <w:pStyle w:val="11"/>
        <w:spacing w:line="440" w:lineRule="exact"/>
        <w:ind w:firstLine="480"/>
        <w:rPr>
          <w:rFonts w:ascii="Times New Roman" w:hAnsi="Times New Roman"/>
        </w:rPr>
      </w:pPr>
    </w:p>
    <w:p w14:paraId="7D78473A">
      <w:pPr>
        <w:pStyle w:val="32"/>
        <w:ind w:left="480" w:firstLine="880"/>
        <w:rPr>
          <w:rStyle w:val="41"/>
          <w:rFonts w:ascii="宋体"/>
          <w:sz w:val="44"/>
        </w:rPr>
      </w:pPr>
    </w:p>
    <w:p w14:paraId="739D42C8">
      <w:pPr>
        <w:pStyle w:val="32"/>
        <w:ind w:left="480" w:firstLine="880"/>
        <w:rPr>
          <w:rStyle w:val="41"/>
          <w:rFonts w:ascii="宋体"/>
          <w:sz w:val="44"/>
        </w:rPr>
      </w:pPr>
    </w:p>
    <w:p w14:paraId="038DA0C4">
      <w:pPr>
        <w:pStyle w:val="32"/>
        <w:ind w:left="480" w:firstLine="880"/>
        <w:rPr>
          <w:rStyle w:val="41"/>
          <w:rFonts w:ascii="宋体"/>
          <w:sz w:val="44"/>
        </w:rPr>
      </w:pPr>
    </w:p>
    <w:p w14:paraId="7F9AB5BE">
      <w:pPr>
        <w:pStyle w:val="32"/>
        <w:ind w:left="480" w:firstLine="880"/>
        <w:rPr>
          <w:rStyle w:val="41"/>
          <w:rFonts w:ascii="宋体"/>
          <w:sz w:val="44"/>
        </w:rPr>
      </w:pPr>
    </w:p>
    <w:p w14:paraId="5C616351">
      <w:pPr>
        <w:pStyle w:val="32"/>
        <w:ind w:left="480" w:firstLine="880"/>
        <w:rPr>
          <w:rStyle w:val="41"/>
          <w:rFonts w:ascii="宋体"/>
          <w:sz w:val="44"/>
        </w:rPr>
      </w:pPr>
    </w:p>
    <w:p w14:paraId="7F2C2C37">
      <w:pPr>
        <w:pStyle w:val="32"/>
        <w:ind w:left="480" w:firstLine="880"/>
        <w:rPr>
          <w:rStyle w:val="41"/>
          <w:rFonts w:ascii="宋体"/>
          <w:sz w:val="44"/>
        </w:rPr>
      </w:pPr>
    </w:p>
    <w:p w14:paraId="24E277F9">
      <w:pPr>
        <w:pStyle w:val="32"/>
        <w:ind w:left="480" w:firstLine="880"/>
        <w:rPr>
          <w:rStyle w:val="41"/>
          <w:rFonts w:ascii="宋体"/>
          <w:sz w:val="44"/>
        </w:rPr>
      </w:pPr>
    </w:p>
    <w:p w14:paraId="75DD0D9A">
      <w:pPr>
        <w:pStyle w:val="32"/>
        <w:ind w:left="480" w:firstLine="880"/>
        <w:rPr>
          <w:rStyle w:val="41"/>
          <w:rFonts w:ascii="宋体"/>
          <w:sz w:val="44"/>
        </w:rPr>
      </w:pPr>
    </w:p>
    <w:p w14:paraId="09697ED6">
      <w:pPr>
        <w:pStyle w:val="32"/>
        <w:ind w:left="480" w:firstLine="880"/>
        <w:rPr>
          <w:rStyle w:val="41"/>
          <w:rFonts w:ascii="宋体"/>
          <w:sz w:val="44"/>
        </w:rPr>
      </w:pPr>
    </w:p>
    <w:p w14:paraId="70D8C7E6">
      <w:pPr>
        <w:pStyle w:val="32"/>
        <w:ind w:left="480" w:firstLine="880"/>
        <w:rPr>
          <w:rStyle w:val="41"/>
          <w:rFonts w:ascii="宋体"/>
          <w:sz w:val="44"/>
        </w:rPr>
      </w:pPr>
    </w:p>
    <w:p w14:paraId="43DB1982">
      <w:pPr>
        <w:pStyle w:val="32"/>
        <w:ind w:left="480" w:firstLine="880"/>
        <w:rPr>
          <w:rStyle w:val="41"/>
          <w:rFonts w:ascii="宋体"/>
          <w:sz w:val="44"/>
        </w:rPr>
      </w:pPr>
    </w:p>
    <w:p w14:paraId="0D9CB484">
      <w:pPr>
        <w:pStyle w:val="32"/>
        <w:ind w:left="480" w:firstLine="880"/>
        <w:rPr>
          <w:rStyle w:val="41"/>
          <w:rFonts w:ascii="宋体"/>
          <w:sz w:val="44"/>
        </w:rPr>
        <w:sectPr>
          <w:headerReference r:id="rId5" w:type="default"/>
          <w:footerReference r:id="rId6" w:type="default"/>
          <w:pgSz w:w="11906" w:h="16840"/>
          <w:pgMar w:top="1060" w:right="1678" w:bottom="280" w:left="1678" w:header="850" w:footer="850" w:gutter="0"/>
          <w:pgNumType w:start="1"/>
          <w:cols w:space="425" w:num="1"/>
        </w:sectPr>
      </w:pPr>
    </w:p>
    <w:p w14:paraId="5407EA2A">
      <w:pPr>
        <w:pStyle w:val="32"/>
        <w:ind w:left="480" w:firstLine="880"/>
        <w:rPr>
          <w:rStyle w:val="41"/>
          <w:rFonts w:ascii="宋体"/>
          <w:sz w:val="44"/>
        </w:rPr>
      </w:pPr>
    </w:p>
    <w:p w14:paraId="3F41B9AD">
      <w:pPr>
        <w:pStyle w:val="88"/>
        <w:snapToGrid w:val="0"/>
        <w:spacing w:line="480" w:lineRule="auto"/>
        <w:jc w:val="center"/>
        <w:rPr>
          <w:rStyle w:val="41"/>
          <w:rFonts w:ascii="宋体"/>
          <w:b w:val="0"/>
          <w:sz w:val="44"/>
        </w:rPr>
      </w:pPr>
      <w:r>
        <w:rPr>
          <w:rStyle w:val="41"/>
          <w:rFonts w:ascii="宋体" w:hAnsi="宋体"/>
          <w:color w:val="000000"/>
          <w:sz w:val="44"/>
          <w:lang w:val="zh-CN"/>
        </w:rPr>
        <w:t>目   录</w:t>
      </w:r>
    </w:p>
    <w:sdt>
      <w:sdtPr>
        <w:rPr>
          <w:rFonts w:hint="eastAsia" w:asciiTheme="minorEastAsia" w:hAnsiTheme="minorEastAsia" w:eastAsiaTheme="minorEastAsia" w:cstheme="minorEastAsia"/>
          <w:sz w:val="32"/>
          <w:szCs w:val="32"/>
        </w:rPr>
        <w:id w:val="147476565"/>
      </w:sdtPr>
      <w:sdtEndPr>
        <w:rPr>
          <w:rFonts w:hint="eastAsia" w:asciiTheme="minorEastAsia" w:hAnsiTheme="minorEastAsia" w:eastAsiaTheme="minorEastAsia" w:cstheme="minorEastAsia"/>
          <w:sz w:val="20"/>
          <w:szCs w:val="20"/>
        </w:rPr>
      </w:sdtEndPr>
      <w:sdtContent>
        <w:p w14:paraId="30D539F4">
          <w:pPr>
            <w:spacing w:line="360" w:lineRule="auto"/>
            <w:jc w:val="center"/>
            <w:rPr>
              <w:rFonts w:asciiTheme="minorEastAsia" w:hAnsiTheme="minorEastAsia" w:eastAsiaTheme="minorEastAsia" w:cstheme="minorEastAsia"/>
              <w:sz w:val="32"/>
              <w:szCs w:val="32"/>
            </w:rPr>
          </w:pPr>
          <w:bookmarkStart w:id="0" w:name="_Toc8920_WPSOffice_Type1"/>
        </w:p>
        <w:p w14:paraId="066CC556">
          <w:pPr>
            <w:pStyle w:val="95"/>
            <w:tabs>
              <w:tab w:val="right" w:leader="dot" w:pos="8550"/>
            </w:tabs>
            <w:spacing w:line="480" w:lineRule="auto"/>
            <w:rPr>
              <w:rFonts w:asciiTheme="minorEastAsia" w:hAnsiTheme="minorEastAsia" w:eastAsiaTheme="minorEastAsia" w:cstheme="minorEastAsia"/>
              <w:sz w:val="32"/>
              <w:szCs w:val="32"/>
            </w:rPr>
          </w:pPr>
          <w:r>
            <w:fldChar w:fldCharType="begin"/>
          </w:r>
          <w:r>
            <w:instrText xml:space="preserve"> HYPERLINK \l "_Toc30266_WPSOffice_Level1" </w:instrText>
          </w:r>
          <w:r>
            <w:fldChar w:fldCharType="separate"/>
          </w:r>
          <w:sdt>
            <w:sdtPr>
              <w:rPr>
                <w:rFonts w:hint="eastAsia" w:asciiTheme="minorEastAsia" w:hAnsiTheme="minorEastAsia" w:eastAsiaTheme="minorEastAsia" w:cstheme="minorEastAsia"/>
                <w:sz w:val="32"/>
                <w:szCs w:val="32"/>
              </w:rPr>
              <w:id w:val="147474562"/>
              <w:placeholder>
                <w:docPart w:val="{00d1861c-596d-4e22-ba55-267bd09414d7}"/>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第一章 比选公告</w:t>
              </w:r>
            </w:sdtContent>
          </w:sdt>
          <w:r>
            <w:rPr>
              <w:rFonts w:hint="eastAsia" w:asciiTheme="minorEastAsia" w:hAnsiTheme="minorEastAsia" w:eastAsiaTheme="minorEastAsia" w:cstheme="minorEastAsia"/>
              <w:sz w:val="32"/>
              <w:szCs w:val="32"/>
            </w:rPr>
            <w:tab/>
          </w:r>
          <w:bookmarkStart w:id="1" w:name="_Toc30266_WPSOffice_Level1Page"/>
          <w:r>
            <w:rPr>
              <w:rFonts w:hint="eastAsia" w:asciiTheme="minorEastAsia" w:hAnsiTheme="minorEastAsia" w:eastAsiaTheme="minorEastAsia" w:cstheme="minorEastAsia"/>
              <w:sz w:val="32"/>
              <w:szCs w:val="32"/>
            </w:rPr>
            <w:t>1</w:t>
          </w:r>
          <w:bookmarkEnd w:id="1"/>
          <w:r>
            <w:rPr>
              <w:rFonts w:hint="eastAsia" w:asciiTheme="minorEastAsia" w:hAnsiTheme="minorEastAsia" w:eastAsiaTheme="minorEastAsia" w:cstheme="minorEastAsia"/>
              <w:sz w:val="32"/>
              <w:szCs w:val="32"/>
            </w:rPr>
            <w:fldChar w:fldCharType="end"/>
          </w:r>
        </w:p>
        <w:p w14:paraId="0524AC21">
          <w:pPr>
            <w:pStyle w:val="95"/>
            <w:tabs>
              <w:tab w:val="right" w:leader="dot" w:pos="8550"/>
            </w:tabs>
            <w:spacing w:line="480" w:lineRule="auto"/>
            <w:rPr>
              <w:rFonts w:hint="eastAsia" w:asciiTheme="minorEastAsia" w:hAnsiTheme="minorEastAsia" w:eastAsiaTheme="minorEastAsia" w:cstheme="minorEastAsia"/>
              <w:sz w:val="32"/>
              <w:szCs w:val="32"/>
              <w:lang w:eastAsia="zh-CN"/>
            </w:rPr>
          </w:pPr>
          <w:r>
            <w:fldChar w:fldCharType="begin"/>
          </w:r>
          <w:r>
            <w:instrText xml:space="preserve"> HYPERLINK \l "_Toc8920_WPSOffice_Level1" </w:instrText>
          </w:r>
          <w:r>
            <w:fldChar w:fldCharType="separate"/>
          </w:r>
          <w:sdt>
            <w:sdtPr>
              <w:rPr>
                <w:rFonts w:hint="eastAsia" w:asciiTheme="minorEastAsia" w:hAnsiTheme="minorEastAsia" w:eastAsiaTheme="minorEastAsia" w:cstheme="minorEastAsia"/>
                <w:sz w:val="32"/>
                <w:szCs w:val="32"/>
              </w:rPr>
              <w:id w:val="147462484"/>
              <w:placeholder>
                <w:docPart w:val="{de1ceb98-ed32-428c-8d25-04a43f524d20}"/>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第二章 比选申请人须知</w:t>
              </w:r>
            </w:sdtContent>
          </w:sdt>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4</w:t>
          </w:r>
        </w:p>
        <w:p w14:paraId="2A3BD36B">
          <w:pPr>
            <w:pStyle w:val="95"/>
            <w:tabs>
              <w:tab w:val="right" w:leader="dot" w:pos="8550"/>
            </w:tabs>
            <w:spacing w:line="480" w:lineRule="auto"/>
            <w:rPr>
              <w:rFonts w:hint="eastAsia" w:asciiTheme="minorEastAsia" w:hAnsiTheme="minorEastAsia" w:eastAsiaTheme="minorEastAsia" w:cstheme="minorEastAsia"/>
              <w:sz w:val="32"/>
              <w:szCs w:val="32"/>
              <w:lang w:eastAsia="zh-CN"/>
            </w:rPr>
          </w:pPr>
          <w:r>
            <w:fldChar w:fldCharType="begin"/>
          </w:r>
          <w:r>
            <w:instrText xml:space="preserve"> HYPERLINK \l "_Toc13970_WPSOffice_Level1" </w:instrText>
          </w:r>
          <w:r>
            <w:fldChar w:fldCharType="separate"/>
          </w:r>
          <w:sdt>
            <w:sdtPr>
              <w:rPr>
                <w:rFonts w:hint="eastAsia" w:asciiTheme="minorEastAsia" w:hAnsiTheme="minorEastAsia" w:eastAsiaTheme="minorEastAsia" w:cstheme="minorEastAsia"/>
                <w:sz w:val="32"/>
                <w:szCs w:val="32"/>
              </w:rPr>
              <w:id w:val="147474304"/>
              <w:placeholder>
                <w:docPart w:val="{15f14fb6-a07c-4532-984e-f6afe8f443b4}"/>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第三章 评选办法</w:t>
              </w:r>
            </w:sdtContent>
          </w:sdt>
          <w:r>
            <w:rPr>
              <w:rFonts w:hint="eastAsia" w:asciiTheme="minorEastAsia" w:hAnsiTheme="minorEastAsia" w:eastAsiaTheme="minorEastAsia" w:cstheme="minorEastAsia"/>
              <w:sz w:val="32"/>
              <w:szCs w:val="32"/>
            </w:rPr>
            <w:tab/>
          </w:r>
          <w:bookmarkStart w:id="2" w:name="_Toc13970_WPSOffice_Level1Page"/>
          <w:r>
            <w:rPr>
              <w:rFonts w:hint="eastAsia" w:asciiTheme="minorEastAsia" w:hAnsiTheme="minorEastAsia" w:eastAsiaTheme="minorEastAsia" w:cstheme="minorEastAsia"/>
              <w:sz w:val="32"/>
              <w:szCs w:val="32"/>
            </w:rPr>
            <w:t>1</w:t>
          </w:r>
          <w:bookmarkEnd w:id="2"/>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6</w:t>
          </w:r>
        </w:p>
        <w:p w14:paraId="2F0098A2">
          <w:pPr>
            <w:pStyle w:val="95"/>
            <w:tabs>
              <w:tab w:val="right" w:leader="dot" w:pos="8550"/>
            </w:tabs>
            <w:spacing w:line="480" w:lineRule="auto"/>
            <w:rPr>
              <w:rFonts w:hint="eastAsia" w:asciiTheme="minorEastAsia" w:hAnsiTheme="minorEastAsia" w:eastAsiaTheme="minorEastAsia" w:cstheme="minorEastAsia"/>
              <w:sz w:val="32"/>
              <w:szCs w:val="32"/>
              <w:lang w:eastAsia="zh-CN"/>
            </w:rPr>
          </w:pPr>
          <w:r>
            <w:fldChar w:fldCharType="begin"/>
          </w:r>
          <w:r>
            <w:instrText xml:space="preserve"> HYPERLINK \l "_Toc4142_WPSOffice_Level1" </w:instrText>
          </w:r>
          <w:r>
            <w:fldChar w:fldCharType="separate"/>
          </w:r>
          <w:sdt>
            <w:sdtPr>
              <w:rPr>
                <w:rFonts w:hint="eastAsia" w:asciiTheme="minorEastAsia" w:hAnsiTheme="minorEastAsia" w:eastAsiaTheme="minorEastAsia" w:cstheme="minorEastAsia"/>
                <w:sz w:val="32"/>
                <w:szCs w:val="32"/>
              </w:rPr>
              <w:id w:val="147480257"/>
              <w:placeholder>
                <w:docPart w:val="{906be34a-5669-439c-b304-512ebacbbeaa}"/>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第四章 合同主要条款及格式</w:t>
              </w:r>
            </w:sdtContent>
          </w:sdt>
          <w:r>
            <w:rPr>
              <w:rFonts w:hint="eastAsia" w:asciiTheme="minorEastAsia" w:hAnsiTheme="minorEastAsia" w:eastAsiaTheme="minorEastAsia" w:cstheme="minorEastAsia"/>
              <w:sz w:val="32"/>
              <w:szCs w:val="32"/>
            </w:rPr>
            <w:tab/>
          </w:r>
          <w:bookmarkStart w:id="3" w:name="_Toc4142_WPSOffice_Level1Page"/>
          <w:r>
            <w:rPr>
              <w:rFonts w:hint="eastAsia" w:asciiTheme="minorEastAsia" w:hAnsiTheme="minorEastAsia" w:eastAsiaTheme="minorEastAsia" w:cstheme="minorEastAsia"/>
              <w:sz w:val="32"/>
              <w:szCs w:val="32"/>
            </w:rPr>
            <w:t>2</w:t>
          </w:r>
          <w:bookmarkEnd w:id="3"/>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6</w:t>
          </w:r>
        </w:p>
        <w:p w14:paraId="0C5E7E46">
          <w:pPr>
            <w:pStyle w:val="95"/>
            <w:tabs>
              <w:tab w:val="right" w:leader="dot" w:pos="8550"/>
            </w:tabs>
            <w:spacing w:line="480" w:lineRule="auto"/>
          </w:pPr>
          <w:r>
            <w:fldChar w:fldCharType="begin"/>
          </w:r>
          <w:r>
            <w:instrText xml:space="preserve"> HYPERLINK \l "_Toc9839_WPSOffice_Level1" </w:instrText>
          </w:r>
          <w:r>
            <w:fldChar w:fldCharType="separate"/>
          </w:r>
          <w:sdt>
            <w:sdtPr>
              <w:rPr>
                <w:rFonts w:hint="eastAsia" w:asciiTheme="minorEastAsia" w:hAnsiTheme="minorEastAsia" w:eastAsiaTheme="minorEastAsia" w:cstheme="minorEastAsia"/>
                <w:sz w:val="32"/>
                <w:szCs w:val="32"/>
              </w:rPr>
              <w:id w:val="147476031"/>
              <w:placeholder>
                <w:docPart w:val="{ac36d516-546e-49bb-8419-d24abf8540b0}"/>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第五章 比选申请文件格式</w:t>
              </w:r>
            </w:sdtContent>
          </w:sdt>
          <w:r>
            <w:rPr>
              <w:rFonts w:hint="eastAsia" w:asciiTheme="minorEastAsia" w:hAnsiTheme="minorEastAsia" w:eastAsiaTheme="minorEastAsia" w:cstheme="minorEastAsia"/>
              <w:sz w:val="32"/>
              <w:szCs w:val="32"/>
            </w:rPr>
            <w:tab/>
          </w:r>
          <w:bookmarkStart w:id="4" w:name="_Toc9839_WPSOffice_Level1Page"/>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4</w:t>
          </w:r>
          <w:bookmarkEnd w:id="4"/>
          <w:r>
            <w:rPr>
              <w:rFonts w:hint="eastAsia" w:asciiTheme="minorEastAsia" w:hAnsiTheme="minorEastAsia" w:eastAsiaTheme="minorEastAsia" w:cstheme="minorEastAsia"/>
              <w:sz w:val="32"/>
              <w:szCs w:val="32"/>
            </w:rPr>
            <w:fldChar w:fldCharType="end"/>
          </w:r>
        </w:p>
      </w:sdtContent>
    </w:sdt>
    <w:bookmarkEnd w:id="0"/>
    <w:p w14:paraId="3A89D02E">
      <w:pPr>
        <w:snapToGrid w:val="0"/>
        <w:spacing w:before="82" w:line="600" w:lineRule="auto"/>
        <w:ind w:right="2"/>
        <w:jc w:val="center"/>
        <w:rPr>
          <w:rStyle w:val="41"/>
          <w:rFonts w:ascii="宋体"/>
          <w:sz w:val="28"/>
        </w:rPr>
      </w:pPr>
    </w:p>
    <w:p w14:paraId="29AA178E">
      <w:pPr>
        <w:snapToGrid w:val="0"/>
        <w:spacing w:before="82"/>
        <w:ind w:right="2"/>
        <w:jc w:val="center"/>
        <w:rPr>
          <w:rStyle w:val="41"/>
          <w:rFonts w:ascii="宋体"/>
          <w:sz w:val="30"/>
        </w:rPr>
        <w:sectPr>
          <w:headerReference r:id="rId7" w:type="default"/>
          <w:footerReference r:id="rId8" w:type="default"/>
          <w:pgSz w:w="11906" w:h="16840"/>
          <w:pgMar w:top="1060" w:right="1678" w:bottom="280" w:left="1678" w:header="850" w:footer="850" w:gutter="0"/>
          <w:pgNumType w:start="1"/>
          <w:cols w:space="425" w:num="1"/>
        </w:sectPr>
      </w:pPr>
    </w:p>
    <w:p w14:paraId="1F29DEAC">
      <w:pPr>
        <w:snapToGrid w:val="0"/>
        <w:spacing w:before="10" w:line="100" w:lineRule="exact"/>
        <w:ind w:right="2"/>
        <w:jc w:val="center"/>
        <w:rPr>
          <w:rStyle w:val="41"/>
          <w:rFonts w:ascii="宋体"/>
          <w:sz w:val="10"/>
        </w:rPr>
      </w:pPr>
    </w:p>
    <w:p w14:paraId="4E0EFD1F">
      <w:pPr>
        <w:snapToGrid w:val="0"/>
        <w:spacing w:line="200" w:lineRule="exact"/>
        <w:rPr>
          <w:rStyle w:val="41"/>
          <w:rFonts w:ascii="宋体"/>
          <w:sz w:val="20"/>
        </w:rPr>
      </w:pPr>
    </w:p>
    <w:p w14:paraId="3EDCEA16">
      <w:pPr>
        <w:snapToGrid w:val="0"/>
        <w:spacing w:line="200" w:lineRule="exact"/>
        <w:rPr>
          <w:rStyle w:val="41"/>
          <w:rFonts w:ascii="宋体"/>
          <w:sz w:val="20"/>
        </w:rPr>
      </w:pPr>
    </w:p>
    <w:p w14:paraId="79FD1F11">
      <w:pPr>
        <w:snapToGrid w:val="0"/>
        <w:spacing w:line="200" w:lineRule="exact"/>
        <w:rPr>
          <w:rStyle w:val="41"/>
          <w:rFonts w:ascii="宋体"/>
          <w:sz w:val="20"/>
        </w:rPr>
      </w:pPr>
    </w:p>
    <w:p w14:paraId="1E353883">
      <w:pPr>
        <w:snapToGrid w:val="0"/>
        <w:spacing w:line="200" w:lineRule="exact"/>
        <w:rPr>
          <w:rStyle w:val="41"/>
          <w:rFonts w:ascii="宋体"/>
          <w:sz w:val="20"/>
        </w:rPr>
      </w:pPr>
    </w:p>
    <w:p w14:paraId="7AF1669C">
      <w:pPr>
        <w:snapToGrid w:val="0"/>
        <w:spacing w:line="200" w:lineRule="exact"/>
        <w:rPr>
          <w:rStyle w:val="41"/>
          <w:rFonts w:ascii="宋体"/>
          <w:sz w:val="20"/>
        </w:rPr>
      </w:pPr>
    </w:p>
    <w:p w14:paraId="15873045">
      <w:pPr>
        <w:snapToGrid w:val="0"/>
        <w:spacing w:line="200" w:lineRule="exact"/>
        <w:rPr>
          <w:rStyle w:val="41"/>
          <w:rFonts w:ascii="宋体"/>
          <w:sz w:val="20"/>
        </w:rPr>
      </w:pPr>
    </w:p>
    <w:p w14:paraId="7C1808F4">
      <w:pPr>
        <w:snapToGrid w:val="0"/>
        <w:spacing w:line="200" w:lineRule="exact"/>
        <w:rPr>
          <w:rStyle w:val="41"/>
          <w:rFonts w:ascii="宋体"/>
          <w:sz w:val="20"/>
        </w:rPr>
      </w:pPr>
    </w:p>
    <w:p w14:paraId="3D1B5F0B">
      <w:pPr>
        <w:snapToGrid w:val="0"/>
        <w:spacing w:line="200" w:lineRule="exact"/>
        <w:rPr>
          <w:rStyle w:val="41"/>
          <w:rFonts w:ascii="宋体"/>
          <w:sz w:val="20"/>
        </w:rPr>
      </w:pPr>
    </w:p>
    <w:p w14:paraId="433D05BC">
      <w:pPr>
        <w:snapToGrid w:val="0"/>
        <w:spacing w:line="200" w:lineRule="exact"/>
        <w:rPr>
          <w:rStyle w:val="41"/>
          <w:rFonts w:ascii="宋体"/>
          <w:sz w:val="20"/>
        </w:rPr>
      </w:pPr>
    </w:p>
    <w:p w14:paraId="56119B5A">
      <w:pPr>
        <w:snapToGrid w:val="0"/>
        <w:spacing w:line="200" w:lineRule="exact"/>
        <w:rPr>
          <w:rStyle w:val="41"/>
          <w:rFonts w:ascii="宋体"/>
          <w:sz w:val="20"/>
        </w:rPr>
      </w:pPr>
    </w:p>
    <w:p w14:paraId="7C65025D">
      <w:pPr>
        <w:snapToGrid w:val="0"/>
        <w:spacing w:line="200" w:lineRule="exact"/>
        <w:rPr>
          <w:rStyle w:val="41"/>
          <w:rFonts w:ascii="宋体"/>
          <w:sz w:val="20"/>
        </w:rPr>
      </w:pPr>
    </w:p>
    <w:p w14:paraId="1D7D495A">
      <w:pPr>
        <w:snapToGrid w:val="0"/>
        <w:spacing w:line="200" w:lineRule="exact"/>
        <w:rPr>
          <w:rStyle w:val="41"/>
          <w:rFonts w:ascii="宋体"/>
          <w:sz w:val="20"/>
        </w:rPr>
      </w:pPr>
    </w:p>
    <w:p w14:paraId="0F78925F">
      <w:pPr>
        <w:snapToGrid w:val="0"/>
        <w:spacing w:line="200" w:lineRule="exact"/>
        <w:rPr>
          <w:rStyle w:val="41"/>
          <w:rFonts w:ascii="宋体"/>
          <w:sz w:val="20"/>
        </w:rPr>
      </w:pPr>
    </w:p>
    <w:p w14:paraId="071DE9A9">
      <w:pPr>
        <w:snapToGrid w:val="0"/>
        <w:spacing w:line="200" w:lineRule="exact"/>
        <w:rPr>
          <w:rStyle w:val="41"/>
          <w:rFonts w:ascii="宋体"/>
          <w:sz w:val="20"/>
        </w:rPr>
      </w:pPr>
    </w:p>
    <w:p w14:paraId="745838F1">
      <w:pPr>
        <w:snapToGrid w:val="0"/>
        <w:spacing w:line="200" w:lineRule="exact"/>
        <w:rPr>
          <w:rStyle w:val="41"/>
          <w:rFonts w:ascii="宋体"/>
          <w:sz w:val="20"/>
        </w:rPr>
      </w:pPr>
    </w:p>
    <w:p w14:paraId="2B76E53C">
      <w:pPr>
        <w:pStyle w:val="2"/>
        <w:ind w:left="480" w:firstLine="560"/>
      </w:pPr>
    </w:p>
    <w:p w14:paraId="65BE4503">
      <w:pPr>
        <w:snapToGrid w:val="0"/>
        <w:spacing w:line="200" w:lineRule="exact"/>
        <w:rPr>
          <w:rStyle w:val="41"/>
          <w:rFonts w:ascii="宋体"/>
          <w:sz w:val="20"/>
        </w:rPr>
      </w:pPr>
    </w:p>
    <w:p w14:paraId="619EC15D">
      <w:pPr>
        <w:snapToGrid w:val="0"/>
        <w:spacing w:line="200" w:lineRule="exact"/>
        <w:rPr>
          <w:rStyle w:val="41"/>
          <w:rFonts w:ascii="宋体"/>
          <w:sz w:val="20"/>
        </w:rPr>
      </w:pPr>
    </w:p>
    <w:p w14:paraId="5275088D">
      <w:pPr>
        <w:pStyle w:val="5"/>
        <w:rPr>
          <w:rStyle w:val="41"/>
        </w:rPr>
      </w:pPr>
      <w:bookmarkStart w:id="5" w:name="_Toc30266_WPSOffice_Level1"/>
      <w:r>
        <w:t>第一章</w:t>
      </w:r>
      <w:r>
        <w:tab/>
      </w:r>
      <w:r>
        <w:t>比选公告</w:t>
      </w:r>
      <w:bookmarkEnd w:id="5"/>
    </w:p>
    <w:p w14:paraId="7FCB0C3D">
      <w:pPr>
        <w:pStyle w:val="35"/>
        <w:tabs>
          <w:tab w:val="left" w:pos="4444"/>
        </w:tabs>
        <w:snapToGrid w:val="0"/>
        <w:spacing w:line="580" w:lineRule="exact"/>
        <w:ind w:left="2520"/>
        <w:rPr>
          <w:rStyle w:val="41"/>
          <w:rFonts w:ascii="宋体" w:hAnsi="宋体" w:eastAsia="宋体"/>
        </w:rPr>
        <w:sectPr>
          <w:footerReference r:id="rId9" w:type="default"/>
          <w:pgSz w:w="11906" w:h="16840"/>
          <w:pgMar w:top="1060" w:right="1680" w:bottom="1040" w:left="1680" w:header="878" w:footer="855" w:gutter="0"/>
          <w:pgNumType w:start="1"/>
          <w:cols w:space="425" w:num="1"/>
        </w:sectPr>
      </w:pPr>
    </w:p>
    <w:p w14:paraId="0E0BAF97">
      <w:pPr>
        <w:pStyle w:val="35"/>
        <w:tabs>
          <w:tab w:val="left" w:pos="4444"/>
        </w:tabs>
        <w:snapToGrid w:val="0"/>
        <w:spacing w:before="5" w:line="240" w:lineRule="exact"/>
        <w:ind w:left="2520"/>
        <w:rPr>
          <w:rStyle w:val="41"/>
          <w:rFonts w:ascii="宋体"/>
        </w:rPr>
      </w:pPr>
    </w:p>
    <w:p w14:paraId="003D281B">
      <w:pPr>
        <w:pStyle w:val="7"/>
        <w:jc w:val="center"/>
        <w:rPr>
          <w:rFonts w:ascii="Times New Roman" w:hAnsi="Times New Roman" w:cs="Times New Roman"/>
        </w:rPr>
      </w:pPr>
      <w:r>
        <w:rPr>
          <w:rFonts w:ascii="Times New Roman" w:hAnsi="Times New Roman" w:cs="Times New Roman"/>
        </w:rPr>
        <w:t>G0611川主寺至汶川段高速公路项目先期开工点施工监理试验室</w:t>
      </w:r>
    </w:p>
    <w:p w14:paraId="178018A8">
      <w:pPr>
        <w:pStyle w:val="7"/>
        <w:jc w:val="center"/>
      </w:pPr>
      <w:r>
        <w:t>比选公告</w:t>
      </w:r>
    </w:p>
    <w:p w14:paraId="092CE57D">
      <w:pPr>
        <w:pStyle w:val="26"/>
        <w:ind w:firstLine="482"/>
        <w:rPr>
          <w:rFonts w:hint="default"/>
          <w:b/>
          <w:bCs/>
        </w:rPr>
      </w:pPr>
      <w:r>
        <w:rPr>
          <w:b/>
          <w:bCs/>
        </w:rPr>
        <w:t>1.比选条件</w:t>
      </w:r>
    </w:p>
    <w:p w14:paraId="4D22E984">
      <w:pPr>
        <w:pStyle w:val="26"/>
        <w:ind w:firstLine="480"/>
        <w:rPr>
          <w:rFonts w:hint="default"/>
        </w:rPr>
      </w:pPr>
      <w:r>
        <w:rPr>
          <w:rFonts w:ascii="宋体" w:hAnsi="宋体"/>
          <w:color w:val="000000"/>
          <w:szCs w:val="21"/>
        </w:rPr>
        <w:t>本比选项目</w:t>
      </w:r>
      <w:r>
        <w:t>G0611川主寺至汶川段高速公路项目先期开工点施工监理试验室（项目名称），</w:t>
      </w:r>
      <w:r>
        <w:rPr>
          <w:rFonts w:hint="eastAsia"/>
          <w:lang w:val="en-US" w:eastAsia="zh-CN"/>
        </w:rPr>
        <w:t>受</w:t>
      </w:r>
      <w:r>
        <w:t>四川</w:t>
      </w:r>
      <w:r>
        <w:rPr>
          <w:rFonts w:hint="eastAsia"/>
          <w:lang w:val="en-US" w:eastAsia="zh-CN"/>
        </w:rPr>
        <w:t>川汶</w:t>
      </w:r>
      <w:r>
        <w:t>高速公路有限责任公司</w:t>
      </w:r>
      <w:r>
        <w:rPr>
          <w:rFonts w:hint="eastAsia"/>
          <w:lang w:val="en-US" w:eastAsia="zh-CN"/>
        </w:rPr>
        <w:t>委托，</w:t>
      </w:r>
      <w:r>
        <w:t>比选人为四川汶马高速公路有限责任公司（以下简称“比选人”或“汶马公司”），项目业主：四川川汶高速公路有限责任公司。资金来源为建设费，出资比例为100%。本项目已具备比选条件，现对该项目进行公开比选。</w:t>
      </w:r>
    </w:p>
    <w:p w14:paraId="2BA498E1">
      <w:pPr>
        <w:pStyle w:val="26"/>
        <w:ind w:firstLine="482"/>
        <w:rPr>
          <w:rFonts w:hint="default"/>
          <w:b/>
          <w:bCs/>
        </w:rPr>
      </w:pPr>
      <w:r>
        <w:rPr>
          <w:b/>
          <w:bCs/>
        </w:rPr>
        <w:t>2.项目概况与比选范围</w:t>
      </w:r>
    </w:p>
    <w:p w14:paraId="574BB3A1">
      <w:pPr>
        <w:pStyle w:val="26"/>
        <w:ind w:firstLine="482"/>
        <w:rPr>
          <w:rFonts w:hint="default"/>
          <w:b/>
          <w:bCs/>
        </w:rPr>
      </w:pPr>
      <w:r>
        <w:rPr>
          <w:b/>
          <w:bCs/>
        </w:rPr>
        <w:t>2.1 项目概况</w:t>
      </w:r>
    </w:p>
    <w:p w14:paraId="57906FB3">
      <w:pPr>
        <w:pStyle w:val="26"/>
        <w:ind w:firstLine="480"/>
        <w:rPr>
          <w:rFonts w:hint="default"/>
        </w:rPr>
      </w:pPr>
      <w:r>
        <w:t>G0611川主寺至汶川段高速公路项目（简称“川汶高速”）：川汶高速路线起于松潘县川主寺镇黄胜关村，接G0611郎木寺至川主寺段，经松潘县、茂县，止于汶川县，接都江堰至汶川（都汶高速）、汶川至马尔康（汶马高速）高速公路。川汶高速全长200.460公里，估算投资约为565.162亿元，采用双向四车道高速公路技术标准，设计速度80公里/小时、路基宽度25.5米。</w:t>
      </w:r>
    </w:p>
    <w:p w14:paraId="3CB13A64">
      <w:pPr>
        <w:pStyle w:val="26"/>
        <w:ind w:firstLine="482"/>
        <w:rPr>
          <w:rFonts w:hint="default"/>
          <w:b/>
          <w:bCs/>
        </w:rPr>
      </w:pPr>
      <w:r>
        <w:rPr>
          <w:b/>
          <w:bCs/>
        </w:rPr>
        <w:t>2.2服务地点：</w:t>
      </w:r>
      <w:r>
        <w:t>川汶高速公路沿线。</w:t>
      </w:r>
    </w:p>
    <w:p w14:paraId="65B50EE1">
      <w:pPr>
        <w:pStyle w:val="26"/>
        <w:ind w:firstLine="482"/>
        <w:rPr>
          <w:rFonts w:hint="default"/>
          <w:b/>
          <w:bCs/>
        </w:rPr>
      </w:pPr>
      <w:r>
        <w:rPr>
          <w:b/>
          <w:bCs/>
        </w:rPr>
        <w:t>2.3 比选范围及服务内容</w:t>
      </w:r>
    </w:p>
    <w:p w14:paraId="69C62B64">
      <w:pPr>
        <w:pStyle w:val="26"/>
        <w:ind w:firstLine="480"/>
        <w:rPr>
          <w:rFonts w:hint="default"/>
        </w:rPr>
      </w:pPr>
      <w:r>
        <w:t>本次比选范围为G0611川主寺至汶川段高速公路项目先期开工点施工监理试验室服务，主要为川汶高速</w:t>
      </w:r>
      <w:r>
        <w:rPr>
          <w:rFonts w:hint="default"/>
        </w:rPr>
        <w:t>虹桥关进口、安宏隧道出口、太平隧道出口、太平服务区、德胜隧道进口、汶川隧道右洞进、汶川隧道出口、汶川枢纽</w:t>
      </w:r>
      <w:r>
        <w:t>等施工监理试验室服务。</w:t>
      </w:r>
    </w:p>
    <w:p w14:paraId="55845921">
      <w:pPr>
        <w:pStyle w:val="26"/>
        <w:ind w:firstLine="482"/>
        <w:rPr>
          <w:rFonts w:hint="default"/>
        </w:rPr>
      </w:pPr>
      <w:r>
        <w:rPr>
          <w:b/>
          <w:bCs/>
        </w:rPr>
        <w:t>2.4标段划分及服务期限</w:t>
      </w:r>
    </w:p>
    <w:p w14:paraId="19F61DA7">
      <w:pPr>
        <w:pStyle w:val="26"/>
        <w:ind w:firstLine="480"/>
        <w:rPr>
          <w:rFonts w:hint="default"/>
        </w:rPr>
      </w:pPr>
      <w:r>
        <w:t>本次比选划分为1个标段，标段号：监理试验室  XQSY 。</w:t>
      </w:r>
    </w:p>
    <w:p w14:paraId="576F4E9F">
      <w:pPr>
        <w:pStyle w:val="26"/>
        <w:ind w:firstLine="480"/>
        <w:rPr>
          <w:rFonts w:hint="default"/>
        </w:rPr>
      </w:pPr>
      <w:r>
        <w:t>G0611川主寺至汶川段高速公路项目先期开工点开工时间至2024年12月31日，预计监理试验室服务期3个月。</w:t>
      </w:r>
      <w:r>
        <w:rPr>
          <w:rFonts w:ascii="宋体" w:hAnsi="宋体"/>
          <w:bCs/>
        </w:rPr>
        <w:t>（具体试验检测人员进场时间以发包人根据现场实际情况下发进场通知为准）</w:t>
      </w:r>
    </w:p>
    <w:p w14:paraId="5EBBFB9F">
      <w:pPr>
        <w:pStyle w:val="26"/>
        <w:ind w:firstLine="480"/>
        <w:rPr>
          <w:rFonts w:hint="default"/>
        </w:rPr>
      </w:pPr>
      <w:r>
        <w:t>中选后，中选人与四川川汶高速公路有限责任公司签订服务合同。</w:t>
      </w:r>
    </w:p>
    <w:p w14:paraId="6353BF91">
      <w:pPr>
        <w:pStyle w:val="26"/>
        <w:ind w:firstLine="482"/>
        <w:rPr>
          <w:rFonts w:hint="default"/>
          <w:b/>
          <w:bCs/>
        </w:rPr>
      </w:pPr>
      <w:r>
        <w:rPr>
          <w:b/>
          <w:bCs/>
        </w:rPr>
        <w:t>3.比选申请人资格要求</w:t>
      </w:r>
    </w:p>
    <w:p w14:paraId="1F0F12ED">
      <w:pPr>
        <w:pStyle w:val="26"/>
        <w:ind w:firstLine="482"/>
        <w:rPr>
          <w:rFonts w:hint="default"/>
        </w:rPr>
      </w:pPr>
      <w:r>
        <w:rPr>
          <w:b/>
          <w:bCs/>
        </w:rPr>
        <w:t>3.1 资格要求：</w:t>
      </w:r>
      <w:r>
        <w:t>见第二章“比选申请人须知”前附表附录资格审查条件。</w:t>
      </w:r>
    </w:p>
    <w:p w14:paraId="15755C7D">
      <w:pPr>
        <w:pStyle w:val="26"/>
        <w:ind w:firstLine="482"/>
        <w:rPr>
          <w:rFonts w:hint="default"/>
        </w:rPr>
      </w:pPr>
      <w:r>
        <w:rPr>
          <w:b/>
          <w:bCs/>
        </w:rPr>
        <w:t>3.2</w:t>
      </w:r>
      <w:r>
        <w:t xml:space="preserve"> 本次比选</w:t>
      </w:r>
      <w:r>
        <w:rPr>
          <w:b/>
          <w:bCs/>
        </w:rPr>
        <w:t>不接受</w:t>
      </w:r>
      <w:r>
        <w:t>联合体比选申请。</w:t>
      </w:r>
    </w:p>
    <w:p w14:paraId="397805EF">
      <w:pPr>
        <w:pStyle w:val="26"/>
        <w:ind w:firstLine="482"/>
        <w:rPr>
          <w:rFonts w:hint="default"/>
        </w:rPr>
      </w:pPr>
      <w:r>
        <w:rPr>
          <w:b/>
          <w:bCs/>
        </w:rPr>
        <w:t>3.3</w:t>
      </w:r>
      <w:r>
        <w:t>与比选人存在利害关系可能影响比选公正性的单位，不得参加比选。法定代表人为同一人或者存在控股、管理关系的不同单位，不得参加同一标段比选。否则，相关比选申请均无效。</w:t>
      </w:r>
    </w:p>
    <w:p w14:paraId="7B28B432">
      <w:pPr>
        <w:pStyle w:val="26"/>
        <w:ind w:firstLine="482"/>
        <w:rPr>
          <w:rFonts w:hint="default"/>
        </w:rPr>
      </w:pPr>
      <w:r>
        <w:rPr>
          <w:rFonts w:hint="default"/>
          <w:b/>
          <w:bCs/>
        </w:rPr>
        <w:t>3.</w:t>
      </w:r>
      <w:r>
        <w:rPr>
          <w:b/>
          <w:bCs/>
        </w:rPr>
        <w:t>4</w:t>
      </w:r>
      <w:r>
        <w:rPr>
          <w:rFonts w:hint="default"/>
        </w:rPr>
        <w:t>不允许转包或分包。</w:t>
      </w:r>
    </w:p>
    <w:p w14:paraId="72305F70">
      <w:pPr>
        <w:pStyle w:val="26"/>
        <w:ind w:firstLine="482"/>
        <w:rPr>
          <w:rFonts w:hint="default"/>
          <w:b/>
          <w:bCs/>
        </w:rPr>
      </w:pPr>
      <w:r>
        <w:rPr>
          <w:b/>
          <w:bCs/>
        </w:rPr>
        <w:t>4.评选办法</w:t>
      </w:r>
    </w:p>
    <w:p w14:paraId="3B70475B">
      <w:pPr>
        <w:pStyle w:val="26"/>
        <w:ind w:firstLine="480"/>
        <w:rPr>
          <w:rFonts w:hint="default"/>
        </w:rPr>
      </w:pPr>
      <w:r>
        <w:t>本次比选采用资格后审、双信封形式，评选方法采用综合评分法。</w:t>
      </w:r>
    </w:p>
    <w:p w14:paraId="44DD0AC4">
      <w:pPr>
        <w:pStyle w:val="26"/>
        <w:ind w:firstLine="482"/>
        <w:rPr>
          <w:rFonts w:hint="default"/>
          <w:b/>
          <w:bCs/>
        </w:rPr>
      </w:pPr>
      <w:r>
        <w:rPr>
          <w:b/>
          <w:bCs/>
        </w:rPr>
        <w:t>5.比选文件的获取</w:t>
      </w:r>
    </w:p>
    <w:p w14:paraId="2C9E68C4">
      <w:pPr>
        <w:pStyle w:val="26"/>
        <w:ind w:firstLine="482"/>
        <w:rPr>
          <w:rFonts w:hint="default"/>
        </w:rPr>
      </w:pPr>
      <w:r>
        <w:rPr>
          <w:b/>
          <w:bCs/>
        </w:rPr>
        <w:t xml:space="preserve">5.1 </w:t>
      </w:r>
      <w:r>
        <w:t>凡有意参加比选申请的潜在比选申请人，请于 2024 年  9  月</w:t>
      </w:r>
      <w:r>
        <w:rPr>
          <w:rFonts w:hint="eastAsia"/>
          <w:lang w:val="en-US" w:eastAsia="zh-CN"/>
        </w:rPr>
        <w:t>10</w:t>
      </w:r>
      <w:r>
        <w:t xml:space="preserve">  日 1</w:t>
      </w:r>
      <w:r>
        <w:rPr>
          <w:rFonts w:hint="eastAsia"/>
          <w:lang w:val="en-US" w:eastAsia="zh-CN"/>
        </w:rPr>
        <w:t>9</w:t>
      </w:r>
      <w:r>
        <w:t>：00 时起，在四川汶马高速公路有限责任公司网站（https://www.scwmgs.com/）免费下载比选文件。比选人不提供其他任何报名和比选文件获取的方式。</w:t>
      </w:r>
    </w:p>
    <w:p w14:paraId="67FD3E57">
      <w:pPr>
        <w:pStyle w:val="26"/>
        <w:ind w:firstLine="482"/>
        <w:rPr>
          <w:rFonts w:hint="default"/>
        </w:rPr>
      </w:pPr>
      <w:r>
        <w:rPr>
          <w:b/>
          <w:bCs/>
        </w:rPr>
        <w:t xml:space="preserve">5.2 </w:t>
      </w:r>
      <w:r>
        <w:t>比选文件补遗书（如果有）由比选申请人在四川汶马高速公路有限责任公司网站（https://www.scwmgs.com/）上自行查阅和下载。</w:t>
      </w:r>
    </w:p>
    <w:p w14:paraId="2452C37D">
      <w:pPr>
        <w:pStyle w:val="26"/>
        <w:ind w:firstLine="482"/>
        <w:rPr>
          <w:rFonts w:hint="default"/>
        </w:rPr>
      </w:pPr>
      <w:r>
        <w:rPr>
          <w:b/>
          <w:bCs/>
        </w:rPr>
        <w:t xml:space="preserve">5.3 </w:t>
      </w:r>
      <w:r>
        <w:t>比选申请人在递交比选申请文件之前不需要向比选人以任何方式提供有关比选申请人的任何信息和联系方式。</w:t>
      </w:r>
    </w:p>
    <w:p w14:paraId="3AF91753">
      <w:pPr>
        <w:pStyle w:val="26"/>
        <w:ind w:firstLine="482"/>
        <w:rPr>
          <w:rFonts w:hint="default"/>
          <w:b/>
          <w:bCs/>
        </w:rPr>
      </w:pPr>
      <w:r>
        <w:rPr>
          <w:b/>
          <w:bCs/>
        </w:rPr>
        <w:t>6.比选申请文件的递交</w:t>
      </w:r>
    </w:p>
    <w:p w14:paraId="5620C059">
      <w:pPr>
        <w:pStyle w:val="26"/>
        <w:ind w:firstLine="482"/>
        <w:rPr>
          <w:rFonts w:hint="default"/>
          <w:b/>
          <w:bCs/>
        </w:rPr>
      </w:pPr>
      <w:r>
        <w:rPr>
          <w:b/>
          <w:bCs/>
        </w:rPr>
        <w:t>6.1 比选申请文件的送交：</w:t>
      </w:r>
    </w:p>
    <w:p w14:paraId="2AA31A79">
      <w:pPr>
        <w:pStyle w:val="26"/>
        <w:ind w:firstLine="480"/>
        <w:rPr>
          <w:rFonts w:hint="default"/>
        </w:rPr>
      </w:pPr>
      <w:r>
        <w:t>（1）比选申请文件的递交时间：2024年9月1</w:t>
      </w:r>
      <w:r>
        <w:rPr>
          <w:rFonts w:hint="eastAsia"/>
          <w:lang w:val="en-US" w:eastAsia="zh-CN"/>
        </w:rPr>
        <w:t>4</w:t>
      </w:r>
      <w:r>
        <w:t>日09:</w:t>
      </w:r>
      <w:r>
        <w:rPr>
          <w:rFonts w:hint="eastAsia"/>
          <w:lang w:val="en-US" w:eastAsia="zh-CN"/>
        </w:rPr>
        <w:t>0</w:t>
      </w:r>
      <w:r>
        <w:t>0～2024年9 月1</w:t>
      </w:r>
      <w:r>
        <w:rPr>
          <w:rFonts w:hint="eastAsia"/>
          <w:lang w:val="en-US" w:eastAsia="zh-CN"/>
        </w:rPr>
        <w:t>4</w:t>
      </w:r>
      <w:r>
        <w:t>日</w:t>
      </w:r>
      <w:r>
        <w:rPr>
          <w:rFonts w:hint="eastAsia"/>
          <w:lang w:val="en-US" w:eastAsia="zh-CN"/>
        </w:rPr>
        <w:t>09</w:t>
      </w:r>
      <w:r>
        <w:t>:</w:t>
      </w:r>
      <w:r>
        <w:rPr>
          <w:rFonts w:hint="eastAsia"/>
          <w:lang w:val="en-US" w:eastAsia="zh-CN"/>
        </w:rPr>
        <w:t>3</w:t>
      </w:r>
      <w:r>
        <w:t>0（北京时间）；</w:t>
      </w:r>
    </w:p>
    <w:p w14:paraId="3E7B93A5">
      <w:pPr>
        <w:pStyle w:val="26"/>
        <w:ind w:firstLine="480"/>
        <w:rPr>
          <w:rFonts w:hint="default"/>
        </w:rPr>
      </w:pPr>
      <w:r>
        <w:t>（2）比选申请文件递交的截止时间为 2024年 9月1</w:t>
      </w:r>
      <w:r>
        <w:rPr>
          <w:rFonts w:hint="eastAsia"/>
          <w:lang w:val="en-US" w:eastAsia="zh-CN"/>
        </w:rPr>
        <w:t>4</w:t>
      </w:r>
      <w:r>
        <w:t xml:space="preserve"> 日 </w:t>
      </w:r>
      <w:r>
        <w:rPr>
          <w:rFonts w:hint="eastAsia"/>
          <w:lang w:val="en-US" w:eastAsia="zh-CN"/>
        </w:rPr>
        <w:t>09</w:t>
      </w:r>
      <w:r>
        <w:t xml:space="preserve"> 时</w:t>
      </w:r>
      <w:r>
        <w:rPr>
          <w:rFonts w:hint="eastAsia"/>
          <w:lang w:val="en-US" w:eastAsia="zh-CN"/>
        </w:rPr>
        <w:t>3</w:t>
      </w:r>
      <w:r>
        <w:t>0 分（比选申请截止时间，下同）。</w:t>
      </w:r>
    </w:p>
    <w:p w14:paraId="085EEF0C">
      <w:pPr>
        <w:pStyle w:val="26"/>
        <w:ind w:firstLine="480"/>
        <w:rPr>
          <w:rFonts w:hint="default"/>
        </w:rPr>
      </w:pPr>
      <w:r>
        <w:t>（3）比选申请文件的递交地点：四川省成都市都江堰市玉堂街道都汶高速都江堰西收费站旁汶马公司新办公楼</w:t>
      </w:r>
      <w:r>
        <w:rPr>
          <w:rFonts w:hint="eastAsia"/>
          <w:lang w:val="en-US" w:eastAsia="zh-CN"/>
        </w:rPr>
        <w:t>二</w:t>
      </w:r>
      <w:r>
        <w:t>楼中会议室；</w:t>
      </w:r>
    </w:p>
    <w:p w14:paraId="5750DB3B">
      <w:pPr>
        <w:pStyle w:val="26"/>
        <w:ind w:firstLine="482"/>
        <w:rPr>
          <w:rFonts w:hint="default"/>
        </w:rPr>
      </w:pPr>
      <w:r>
        <w:rPr>
          <w:b/>
          <w:bCs/>
        </w:rPr>
        <w:t>6.2</w:t>
      </w:r>
      <w:r>
        <w:t xml:space="preserve"> 逾期送达的或者未送达指定地点或未按比选文件要求密封的比选申请文件，比选人将予以拒收。</w:t>
      </w:r>
    </w:p>
    <w:p w14:paraId="0ED0EA5C">
      <w:pPr>
        <w:pStyle w:val="26"/>
        <w:ind w:firstLine="482"/>
        <w:rPr>
          <w:rFonts w:hint="default"/>
          <w:b/>
          <w:bCs/>
        </w:rPr>
      </w:pPr>
      <w:r>
        <w:rPr>
          <w:b/>
          <w:bCs/>
        </w:rPr>
        <w:t>7．比选结果公示</w:t>
      </w:r>
    </w:p>
    <w:p w14:paraId="26DF594F">
      <w:pPr>
        <w:pStyle w:val="26"/>
        <w:ind w:firstLine="480"/>
        <w:rPr>
          <w:rFonts w:hint="default"/>
        </w:rPr>
      </w:pPr>
      <w:r>
        <w:t>本次比选结果在四川汶马高速公路有限责任公司网站（https://www.scwmgs.com/）上公示3个工作日，以接受监督。</w:t>
      </w:r>
    </w:p>
    <w:p w14:paraId="60D956B4">
      <w:pPr>
        <w:pStyle w:val="26"/>
        <w:ind w:firstLine="482"/>
        <w:rPr>
          <w:rFonts w:hint="default"/>
          <w:b/>
          <w:bCs/>
        </w:rPr>
      </w:pPr>
      <w:r>
        <w:rPr>
          <w:b/>
          <w:bCs/>
        </w:rPr>
        <w:t>8. 联系方式</w:t>
      </w:r>
    </w:p>
    <w:p w14:paraId="073DBB14">
      <w:pPr>
        <w:pStyle w:val="26"/>
        <w:ind w:firstLine="480"/>
        <w:rPr>
          <w:rFonts w:hint="default"/>
        </w:rPr>
      </w:pPr>
      <w:r>
        <w:t>比 选 人：四川汶马高速公路有限责任公司</w:t>
      </w:r>
    </w:p>
    <w:p w14:paraId="66939716">
      <w:pPr>
        <w:pStyle w:val="26"/>
        <w:ind w:firstLine="480"/>
        <w:rPr>
          <w:rFonts w:hint="default"/>
        </w:rPr>
      </w:pPr>
      <w:r>
        <w:t xml:space="preserve">地      址：四川省成都市都江堰市玉堂街道都汶高速都江堰西收费站旁汶马公司  </w:t>
      </w:r>
    </w:p>
    <w:p w14:paraId="07FC453B">
      <w:pPr>
        <w:pStyle w:val="26"/>
        <w:ind w:firstLine="480"/>
        <w:rPr>
          <w:rFonts w:hint="default"/>
        </w:rPr>
      </w:pPr>
      <w:r>
        <w:t>联 系 人：唐先生</w:t>
      </w:r>
    </w:p>
    <w:p w14:paraId="7A2A1EFC">
      <w:pPr>
        <w:spacing w:line="312" w:lineRule="auto"/>
        <w:ind w:firstLine="480" w:firstLineChars="200"/>
      </w:pPr>
      <w:r>
        <w:t xml:space="preserve">电    </w:t>
      </w:r>
      <w:r>
        <w:rPr>
          <w:rFonts w:hint="eastAsia"/>
        </w:rPr>
        <w:t xml:space="preserve">  </w:t>
      </w:r>
      <w:r>
        <w:t>话：</w:t>
      </w:r>
      <w:r>
        <w:rPr>
          <w:rFonts w:hint="eastAsia" w:ascii="宋体" w:hAnsi="宋体" w:cs="宋体"/>
        </w:rPr>
        <w:t>028-87111163</w:t>
      </w:r>
      <w:r>
        <w:t xml:space="preserve">                             </w:t>
      </w:r>
    </w:p>
    <w:p w14:paraId="34FB1BDC">
      <w:pPr>
        <w:snapToGrid w:val="0"/>
        <w:spacing w:line="360" w:lineRule="auto"/>
        <w:rPr>
          <w:rStyle w:val="41"/>
          <w:rFonts w:ascii="宋体"/>
          <w:sz w:val="21"/>
        </w:rPr>
      </w:pPr>
    </w:p>
    <w:p w14:paraId="228131C8">
      <w:pPr>
        <w:snapToGrid w:val="0"/>
        <w:spacing w:line="360" w:lineRule="auto"/>
        <w:rPr>
          <w:rStyle w:val="41"/>
          <w:rFonts w:ascii="宋体"/>
          <w:sz w:val="21"/>
        </w:rPr>
        <w:sectPr>
          <w:pgSz w:w="11906" w:h="16840"/>
          <w:pgMar w:top="1100" w:right="900" w:bottom="1040" w:left="1360" w:header="878" w:footer="855" w:gutter="0"/>
          <w:cols w:space="425" w:num="1"/>
        </w:sectPr>
      </w:pPr>
    </w:p>
    <w:p w14:paraId="5F8BFAC5">
      <w:pPr>
        <w:snapToGrid w:val="0"/>
        <w:spacing w:line="360" w:lineRule="auto"/>
        <w:rPr>
          <w:rStyle w:val="41"/>
          <w:rFonts w:ascii="宋体"/>
          <w:sz w:val="21"/>
        </w:rPr>
      </w:pPr>
    </w:p>
    <w:p w14:paraId="43F35501">
      <w:pPr>
        <w:snapToGrid w:val="0"/>
        <w:spacing w:line="200" w:lineRule="exact"/>
        <w:rPr>
          <w:rStyle w:val="41"/>
          <w:rFonts w:ascii="宋体"/>
          <w:sz w:val="20"/>
        </w:rPr>
      </w:pPr>
    </w:p>
    <w:p w14:paraId="111975DF">
      <w:pPr>
        <w:snapToGrid w:val="0"/>
        <w:spacing w:line="200" w:lineRule="exact"/>
        <w:rPr>
          <w:rStyle w:val="41"/>
          <w:rFonts w:ascii="宋体"/>
          <w:sz w:val="20"/>
        </w:rPr>
      </w:pPr>
    </w:p>
    <w:p w14:paraId="00D91B1F">
      <w:pPr>
        <w:snapToGrid w:val="0"/>
        <w:spacing w:line="200" w:lineRule="exact"/>
        <w:rPr>
          <w:rStyle w:val="41"/>
          <w:rFonts w:ascii="宋体"/>
          <w:sz w:val="20"/>
        </w:rPr>
      </w:pPr>
    </w:p>
    <w:p w14:paraId="419A4BA6">
      <w:pPr>
        <w:snapToGrid w:val="0"/>
        <w:spacing w:line="200" w:lineRule="exact"/>
        <w:rPr>
          <w:rStyle w:val="41"/>
          <w:rFonts w:ascii="宋体"/>
          <w:sz w:val="20"/>
        </w:rPr>
      </w:pPr>
    </w:p>
    <w:p w14:paraId="4125EDF7">
      <w:pPr>
        <w:snapToGrid w:val="0"/>
        <w:spacing w:line="200" w:lineRule="exact"/>
        <w:rPr>
          <w:rStyle w:val="41"/>
          <w:rFonts w:ascii="宋体"/>
          <w:sz w:val="20"/>
        </w:rPr>
      </w:pPr>
    </w:p>
    <w:p w14:paraId="39434765">
      <w:pPr>
        <w:snapToGrid w:val="0"/>
        <w:spacing w:line="200" w:lineRule="exact"/>
        <w:rPr>
          <w:rStyle w:val="41"/>
          <w:rFonts w:ascii="宋体"/>
          <w:sz w:val="20"/>
        </w:rPr>
      </w:pPr>
    </w:p>
    <w:p w14:paraId="15D841BD">
      <w:pPr>
        <w:snapToGrid w:val="0"/>
        <w:spacing w:line="200" w:lineRule="exact"/>
        <w:rPr>
          <w:rStyle w:val="41"/>
          <w:rFonts w:ascii="宋体"/>
          <w:sz w:val="20"/>
        </w:rPr>
      </w:pPr>
    </w:p>
    <w:p w14:paraId="40F2AF56">
      <w:pPr>
        <w:snapToGrid w:val="0"/>
        <w:spacing w:line="200" w:lineRule="exact"/>
        <w:rPr>
          <w:rStyle w:val="41"/>
          <w:rFonts w:ascii="宋体"/>
          <w:sz w:val="20"/>
        </w:rPr>
      </w:pPr>
    </w:p>
    <w:p w14:paraId="42243BC0">
      <w:pPr>
        <w:snapToGrid w:val="0"/>
        <w:spacing w:line="200" w:lineRule="exact"/>
        <w:rPr>
          <w:rStyle w:val="41"/>
          <w:rFonts w:ascii="宋体"/>
          <w:sz w:val="20"/>
        </w:rPr>
      </w:pPr>
    </w:p>
    <w:p w14:paraId="21B87439">
      <w:pPr>
        <w:snapToGrid w:val="0"/>
        <w:spacing w:line="200" w:lineRule="exact"/>
        <w:rPr>
          <w:rStyle w:val="41"/>
          <w:rFonts w:ascii="宋体"/>
          <w:sz w:val="20"/>
        </w:rPr>
      </w:pPr>
    </w:p>
    <w:p w14:paraId="411B2E0F">
      <w:pPr>
        <w:snapToGrid w:val="0"/>
        <w:spacing w:line="200" w:lineRule="exact"/>
        <w:rPr>
          <w:rStyle w:val="41"/>
          <w:rFonts w:ascii="宋体"/>
          <w:sz w:val="20"/>
        </w:rPr>
      </w:pPr>
    </w:p>
    <w:p w14:paraId="2830C876">
      <w:pPr>
        <w:snapToGrid w:val="0"/>
        <w:spacing w:before="8" w:line="280" w:lineRule="exact"/>
        <w:rPr>
          <w:rStyle w:val="41"/>
          <w:rFonts w:ascii="宋体"/>
          <w:sz w:val="28"/>
        </w:rPr>
      </w:pPr>
    </w:p>
    <w:p w14:paraId="1B7DEF6B">
      <w:pPr>
        <w:pStyle w:val="5"/>
        <w:rPr>
          <w:rStyle w:val="41"/>
          <w:b w:val="0"/>
        </w:rPr>
      </w:pPr>
      <w:bookmarkStart w:id="6" w:name="_Toc8920_WPSOffice_Level1"/>
      <w:r>
        <w:t>第二章</w:t>
      </w:r>
      <w:r>
        <w:tab/>
      </w:r>
      <w:r>
        <w:rPr>
          <w:rFonts w:hint="eastAsia"/>
        </w:rPr>
        <w:t xml:space="preserve"> </w:t>
      </w:r>
      <w:r>
        <w:t>比选申请人须知</w:t>
      </w:r>
      <w:bookmarkEnd w:id="6"/>
    </w:p>
    <w:p w14:paraId="333B37A3">
      <w:pPr>
        <w:pStyle w:val="35"/>
        <w:tabs>
          <w:tab w:val="left" w:pos="4524"/>
        </w:tabs>
        <w:snapToGrid w:val="0"/>
        <w:spacing w:line="580" w:lineRule="exact"/>
        <w:ind w:left="2600"/>
        <w:rPr>
          <w:rStyle w:val="41"/>
          <w:rFonts w:ascii="宋体" w:hAnsi="宋体" w:eastAsia="宋体"/>
        </w:rPr>
        <w:sectPr>
          <w:pgSz w:w="11906" w:h="16840"/>
          <w:pgMar w:top="1100" w:right="1020" w:bottom="1040" w:left="1360" w:header="878" w:footer="855" w:gutter="0"/>
          <w:cols w:space="425" w:num="1"/>
        </w:sectPr>
      </w:pPr>
    </w:p>
    <w:p w14:paraId="0FD679E5">
      <w:pPr>
        <w:pStyle w:val="35"/>
        <w:tabs>
          <w:tab w:val="left" w:pos="4524"/>
        </w:tabs>
        <w:snapToGrid w:val="0"/>
        <w:spacing w:before="2" w:line="110" w:lineRule="exact"/>
        <w:ind w:left="2600"/>
        <w:rPr>
          <w:rStyle w:val="41"/>
          <w:rFonts w:ascii="宋体"/>
          <w:sz w:val="11"/>
        </w:rPr>
      </w:pPr>
    </w:p>
    <w:p w14:paraId="697F4FE9">
      <w:pPr>
        <w:snapToGrid w:val="0"/>
        <w:spacing w:line="200" w:lineRule="exact"/>
        <w:rPr>
          <w:rStyle w:val="41"/>
          <w:rFonts w:ascii="宋体"/>
          <w:sz w:val="20"/>
        </w:rPr>
      </w:pPr>
    </w:p>
    <w:p w14:paraId="550A62D8">
      <w:pPr>
        <w:pStyle w:val="6"/>
      </w:pPr>
      <w:r>
        <w:rPr>
          <w:rFonts w:hint="eastAsia"/>
        </w:rPr>
        <w:t>一、</w:t>
      </w:r>
      <w:r>
        <w:rPr>
          <w:rFonts w:hint="eastAsia"/>
          <w:lang w:val="zh-CN"/>
        </w:rPr>
        <w:t>比选申请人须知</w:t>
      </w:r>
      <w:r>
        <w:rPr>
          <w:rFonts w:hint="eastAsia"/>
        </w:rPr>
        <w:t>前附表</w:t>
      </w:r>
    </w:p>
    <w:p w14:paraId="011C2819">
      <w:pPr>
        <w:pStyle w:val="31"/>
        <w:ind w:firstLine="420"/>
      </w:pPr>
      <w:r>
        <w:rPr>
          <w:rFonts w:hint="eastAsia"/>
        </w:rPr>
        <w:t>“比选申请人须知前附表”是用于进一步明确正文中的未尽事宜，由比选人根据本项目具体特点和实际需要编制和填写，与正文无抵触且与比选文件其他章节相衔接。“比选申请人须知前附表”内容与本须知正文不一致的，以“比选申请人须知前附表”内容为准。“比选申请人须知前附表”中的附录表格同属“比选申请人须知前附表”内容，具有同等效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80"/>
        <w:gridCol w:w="1902"/>
        <w:gridCol w:w="6129"/>
      </w:tblGrid>
      <w:tr w14:paraId="0538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0D8C750C">
            <w:pPr>
              <w:pStyle w:val="28"/>
              <w:rPr>
                <w:rFonts w:hint="default"/>
              </w:rPr>
            </w:pPr>
            <w:r>
              <w:t>条款号</w:t>
            </w:r>
          </w:p>
        </w:tc>
        <w:tc>
          <w:tcPr>
            <w:tcW w:w="1902" w:type="dxa"/>
            <w:vAlign w:val="center"/>
          </w:tcPr>
          <w:p w14:paraId="24833269">
            <w:pPr>
              <w:pStyle w:val="28"/>
              <w:rPr>
                <w:rFonts w:hint="default"/>
              </w:rPr>
            </w:pPr>
            <w:r>
              <w:t>条款名称</w:t>
            </w:r>
          </w:p>
        </w:tc>
        <w:tc>
          <w:tcPr>
            <w:tcW w:w="6129" w:type="dxa"/>
            <w:vAlign w:val="center"/>
          </w:tcPr>
          <w:p w14:paraId="669CD905">
            <w:pPr>
              <w:pStyle w:val="28"/>
              <w:rPr>
                <w:rFonts w:hint="default"/>
              </w:rPr>
            </w:pPr>
            <w:r>
              <w:t>编列内容</w:t>
            </w:r>
          </w:p>
        </w:tc>
      </w:tr>
      <w:tr w14:paraId="0C27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14FAE06B">
            <w:pPr>
              <w:pStyle w:val="29"/>
            </w:pPr>
            <w:r>
              <w:rPr>
                <w:rFonts w:hint="eastAsia"/>
              </w:rPr>
              <w:t>1.1.2</w:t>
            </w:r>
          </w:p>
        </w:tc>
        <w:tc>
          <w:tcPr>
            <w:tcW w:w="1902" w:type="dxa"/>
            <w:vAlign w:val="center"/>
          </w:tcPr>
          <w:p w14:paraId="401FE4AC">
            <w:pPr>
              <w:pStyle w:val="29"/>
            </w:pPr>
            <w:r>
              <w:rPr>
                <w:rFonts w:hint="eastAsia"/>
              </w:rPr>
              <w:t>比选人</w:t>
            </w:r>
          </w:p>
        </w:tc>
        <w:tc>
          <w:tcPr>
            <w:tcW w:w="6129" w:type="dxa"/>
            <w:vAlign w:val="center"/>
          </w:tcPr>
          <w:p w14:paraId="017D5FDD">
            <w:pPr>
              <w:pStyle w:val="30"/>
            </w:pPr>
            <w:r>
              <w:rPr>
                <w:rFonts w:hint="eastAsia"/>
              </w:rPr>
              <w:t>比选人：四川汶马高速公路有限责任公司</w:t>
            </w:r>
          </w:p>
          <w:p w14:paraId="7F3994CA">
            <w:pPr>
              <w:pStyle w:val="30"/>
            </w:pPr>
            <w:r>
              <w:rPr>
                <w:rFonts w:hint="eastAsia"/>
              </w:rPr>
              <w:t>地 址：四川省成都市都江堰市玉堂街道都汶高速都江堰西收费站旁四川汶马高速公路有限责任公司</w:t>
            </w:r>
          </w:p>
          <w:p w14:paraId="713DAF1F">
            <w:pPr>
              <w:pStyle w:val="30"/>
            </w:pPr>
            <w:r>
              <w:rPr>
                <w:rFonts w:hint="eastAsia"/>
              </w:rPr>
              <w:t>电 话：028-87111163</w:t>
            </w:r>
          </w:p>
          <w:p w14:paraId="07EE320B">
            <w:pPr>
              <w:pStyle w:val="30"/>
            </w:pPr>
            <w:r>
              <w:rPr>
                <w:rFonts w:hint="eastAsia"/>
              </w:rPr>
              <w:t>联 系 人：唐先生</w:t>
            </w:r>
          </w:p>
          <w:p w14:paraId="12A1DB38">
            <w:pPr>
              <w:pStyle w:val="30"/>
            </w:pPr>
            <w:r>
              <w:rPr>
                <w:rFonts w:hint="eastAsia"/>
              </w:rPr>
              <w:t>网 址：http://www.scwmgs.com</w:t>
            </w:r>
          </w:p>
        </w:tc>
      </w:tr>
      <w:tr w14:paraId="36DF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3398CACB">
            <w:pPr>
              <w:pStyle w:val="29"/>
            </w:pPr>
            <w:r>
              <w:rPr>
                <w:rFonts w:hint="eastAsia"/>
              </w:rPr>
              <w:t>1.1.3</w:t>
            </w:r>
          </w:p>
        </w:tc>
        <w:tc>
          <w:tcPr>
            <w:tcW w:w="1902" w:type="dxa"/>
            <w:vAlign w:val="center"/>
          </w:tcPr>
          <w:p w14:paraId="4EDD5762">
            <w:pPr>
              <w:pStyle w:val="29"/>
            </w:pPr>
            <w:r>
              <w:rPr>
                <w:rFonts w:hint="eastAsia"/>
              </w:rPr>
              <w:t>比选咨询机构</w:t>
            </w:r>
          </w:p>
        </w:tc>
        <w:tc>
          <w:tcPr>
            <w:tcW w:w="6129" w:type="dxa"/>
            <w:vAlign w:val="center"/>
          </w:tcPr>
          <w:p w14:paraId="5C803F32">
            <w:pPr>
              <w:pStyle w:val="30"/>
            </w:pPr>
            <w:r>
              <w:rPr>
                <w:rFonts w:hint="eastAsia"/>
              </w:rPr>
              <w:t>/</w:t>
            </w:r>
          </w:p>
        </w:tc>
      </w:tr>
      <w:tr w14:paraId="52F4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2D3247E3">
            <w:pPr>
              <w:pStyle w:val="29"/>
            </w:pPr>
            <w:r>
              <w:rPr>
                <w:rFonts w:hint="eastAsia"/>
              </w:rPr>
              <w:t>1.1.4</w:t>
            </w:r>
          </w:p>
        </w:tc>
        <w:tc>
          <w:tcPr>
            <w:tcW w:w="1902" w:type="dxa"/>
            <w:vAlign w:val="center"/>
          </w:tcPr>
          <w:p w14:paraId="752D32CD">
            <w:pPr>
              <w:pStyle w:val="29"/>
            </w:pPr>
            <w:r>
              <w:rPr>
                <w:rFonts w:hint="eastAsia"/>
              </w:rPr>
              <w:t>项目名称</w:t>
            </w:r>
          </w:p>
        </w:tc>
        <w:tc>
          <w:tcPr>
            <w:tcW w:w="6129" w:type="dxa"/>
            <w:vAlign w:val="center"/>
          </w:tcPr>
          <w:p w14:paraId="5BB6A31C">
            <w:pPr>
              <w:pStyle w:val="30"/>
            </w:pPr>
            <w:r>
              <w:rPr>
                <w:rFonts w:hint="eastAsia"/>
              </w:rPr>
              <w:t>G0611川主寺至汶川段高速公路项目先期开工点施工监理试验室</w:t>
            </w:r>
          </w:p>
        </w:tc>
      </w:tr>
      <w:tr w14:paraId="0677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0B0D787">
            <w:pPr>
              <w:pStyle w:val="29"/>
            </w:pPr>
            <w:r>
              <w:rPr>
                <w:rFonts w:hint="eastAsia"/>
              </w:rPr>
              <w:t>1.1.5</w:t>
            </w:r>
          </w:p>
        </w:tc>
        <w:tc>
          <w:tcPr>
            <w:tcW w:w="1902" w:type="dxa"/>
            <w:vAlign w:val="center"/>
          </w:tcPr>
          <w:p w14:paraId="03441F56">
            <w:pPr>
              <w:pStyle w:val="29"/>
            </w:pPr>
            <w:r>
              <w:rPr>
                <w:rFonts w:hint="eastAsia"/>
              </w:rPr>
              <w:t>服务地点</w:t>
            </w:r>
          </w:p>
        </w:tc>
        <w:tc>
          <w:tcPr>
            <w:tcW w:w="6129" w:type="dxa"/>
            <w:vAlign w:val="center"/>
          </w:tcPr>
          <w:p w14:paraId="64796807">
            <w:pPr>
              <w:pStyle w:val="30"/>
            </w:pPr>
            <w:r>
              <w:rPr>
                <w:rFonts w:hint="eastAsia"/>
              </w:rPr>
              <w:t>见比选公告</w:t>
            </w:r>
          </w:p>
        </w:tc>
      </w:tr>
      <w:tr w14:paraId="322D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80" w:type="dxa"/>
            <w:vAlign w:val="center"/>
          </w:tcPr>
          <w:p w14:paraId="6B6D9150">
            <w:pPr>
              <w:pStyle w:val="29"/>
            </w:pPr>
            <w:r>
              <w:rPr>
                <w:rFonts w:hint="eastAsia"/>
              </w:rPr>
              <w:t>1.1.6</w:t>
            </w:r>
          </w:p>
        </w:tc>
        <w:tc>
          <w:tcPr>
            <w:tcW w:w="1902" w:type="dxa"/>
            <w:vAlign w:val="center"/>
          </w:tcPr>
          <w:p w14:paraId="2240437B">
            <w:pPr>
              <w:pStyle w:val="29"/>
            </w:pPr>
            <w:r>
              <w:rPr>
                <w:rFonts w:hint="eastAsia"/>
              </w:rPr>
              <w:t>项目规模</w:t>
            </w:r>
          </w:p>
        </w:tc>
        <w:tc>
          <w:tcPr>
            <w:tcW w:w="6129" w:type="dxa"/>
            <w:vAlign w:val="center"/>
          </w:tcPr>
          <w:p w14:paraId="2C773735">
            <w:pPr>
              <w:pStyle w:val="30"/>
            </w:pPr>
            <w:r>
              <w:t>/</w:t>
            </w:r>
          </w:p>
        </w:tc>
      </w:tr>
      <w:tr w14:paraId="5D65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6C585112">
            <w:pPr>
              <w:pStyle w:val="29"/>
            </w:pPr>
            <w:r>
              <w:rPr>
                <w:rFonts w:hint="eastAsia"/>
              </w:rPr>
              <w:t>1.1.7</w:t>
            </w:r>
          </w:p>
        </w:tc>
        <w:tc>
          <w:tcPr>
            <w:tcW w:w="1902" w:type="dxa"/>
            <w:vAlign w:val="center"/>
          </w:tcPr>
          <w:p w14:paraId="5E6BC007">
            <w:pPr>
              <w:pStyle w:val="29"/>
            </w:pPr>
            <w:r>
              <w:rPr>
                <w:rFonts w:hint="eastAsia"/>
              </w:rPr>
              <w:t>投资估算</w:t>
            </w:r>
          </w:p>
        </w:tc>
        <w:tc>
          <w:tcPr>
            <w:tcW w:w="6129" w:type="dxa"/>
            <w:vAlign w:val="center"/>
          </w:tcPr>
          <w:p w14:paraId="3BEF087E">
            <w:pPr>
              <w:pStyle w:val="30"/>
            </w:pPr>
            <w:r>
              <w:rPr>
                <w:rFonts w:hint="eastAsia"/>
                <w:color w:val="0000FF"/>
                <w:lang w:val="en-US" w:eastAsia="zh-CN"/>
              </w:rPr>
              <w:t>/</w:t>
            </w:r>
          </w:p>
        </w:tc>
      </w:tr>
      <w:tr w14:paraId="3828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50D31EFA">
            <w:pPr>
              <w:pStyle w:val="29"/>
            </w:pPr>
            <w:r>
              <w:rPr>
                <w:rFonts w:hint="eastAsia"/>
              </w:rPr>
              <w:t>1.2.1</w:t>
            </w:r>
          </w:p>
        </w:tc>
        <w:tc>
          <w:tcPr>
            <w:tcW w:w="1902" w:type="dxa"/>
            <w:vAlign w:val="center"/>
          </w:tcPr>
          <w:p w14:paraId="0A7C8148">
            <w:pPr>
              <w:pStyle w:val="29"/>
            </w:pPr>
            <w:r>
              <w:rPr>
                <w:rFonts w:hint="eastAsia"/>
              </w:rPr>
              <w:t>资金来源及比例</w:t>
            </w:r>
          </w:p>
        </w:tc>
        <w:tc>
          <w:tcPr>
            <w:tcW w:w="6129" w:type="dxa"/>
            <w:vAlign w:val="center"/>
          </w:tcPr>
          <w:p w14:paraId="68854E5C">
            <w:pPr>
              <w:pStyle w:val="30"/>
            </w:pPr>
            <w:r>
              <w:rPr>
                <w:rFonts w:hint="eastAsia"/>
              </w:rPr>
              <w:t>建设费，出资比例为100%。</w:t>
            </w:r>
          </w:p>
        </w:tc>
      </w:tr>
      <w:tr w14:paraId="676E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FD02A5A">
            <w:pPr>
              <w:pStyle w:val="29"/>
            </w:pPr>
            <w:r>
              <w:rPr>
                <w:rFonts w:hint="eastAsia"/>
              </w:rPr>
              <w:t>1.2.2</w:t>
            </w:r>
          </w:p>
        </w:tc>
        <w:tc>
          <w:tcPr>
            <w:tcW w:w="1902" w:type="dxa"/>
            <w:vAlign w:val="center"/>
          </w:tcPr>
          <w:p w14:paraId="7041173E">
            <w:pPr>
              <w:pStyle w:val="29"/>
            </w:pPr>
            <w:r>
              <w:rPr>
                <w:rFonts w:hint="eastAsia"/>
              </w:rPr>
              <w:t>资金落实情况</w:t>
            </w:r>
          </w:p>
        </w:tc>
        <w:tc>
          <w:tcPr>
            <w:tcW w:w="6129" w:type="dxa"/>
            <w:vAlign w:val="center"/>
          </w:tcPr>
          <w:p w14:paraId="6500F1A8">
            <w:pPr>
              <w:pStyle w:val="30"/>
            </w:pPr>
            <w:r>
              <w:rPr>
                <w:rFonts w:hint="eastAsia"/>
              </w:rPr>
              <w:t>资金已落实</w:t>
            </w:r>
          </w:p>
        </w:tc>
      </w:tr>
      <w:tr w14:paraId="44CF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98640D4">
            <w:pPr>
              <w:pStyle w:val="29"/>
            </w:pPr>
            <w:r>
              <w:rPr>
                <w:rFonts w:hint="eastAsia"/>
              </w:rPr>
              <w:t>1.3.1</w:t>
            </w:r>
          </w:p>
        </w:tc>
        <w:tc>
          <w:tcPr>
            <w:tcW w:w="1902" w:type="dxa"/>
            <w:vAlign w:val="center"/>
          </w:tcPr>
          <w:p w14:paraId="7F939F5F">
            <w:pPr>
              <w:pStyle w:val="29"/>
            </w:pPr>
            <w:r>
              <w:rPr>
                <w:rFonts w:hint="eastAsia"/>
              </w:rPr>
              <w:t>比选范围</w:t>
            </w:r>
          </w:p>
        </w:tc>
        <w:tc>
          <w:tcPr>
            <w:tcW w:w="6129" w:type="dxa"/>
            <w:vAlign w:val="center"/>
          </w:tcPr>
          <w:p w14:paraId="7B8A8ABF">
            <w:pPr>
              <w:pStyle w:val="30"/>
            </w:pPr>
            <w:r>
              <w:rPr>
                <w:rFonts w:hint="eastAsia"/>
              </w:rPr>
              <w:t>同比选公告</w:t>
            </w:r>
          </w:p>
        </w:tc>
      </w:tr>
      <w:tr w14:paraId="518B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038ED6B0">
            <w:pPr>
              <w:pStyle w:val="29"/>
            </w:pPr>
            <w:r>
              <w:rPr>
                <w:rFonts w:hint="eastAsia"/>
              </w:rPr>
              <w:t>1.3.2</w:t>
            </w:r>
          </w:p>
        </w:tc>
        <w:tc>
          <w:tcPr>
            <w:tcW w:w="1902" w:type="dxa"/>
            <w:vAlign w:val="center"/>
          </w:tcPr>
          <w:p w14:paraId="5F970FC8">
            <w:pPr>
              <w:pStyle w:val="29"/>
            </w:pPr>
            <w:r>
              <w:rPr>
                <w:rFonts w:hint="eastAsia"/>
              </w:rPr>
              <w:t>服务期限</w:t>
            </w:r>
          </w:p>
        </w:tc>
        <w:tc>
          <w:tcPr>
            <w:tcW w:w="6129" w:type="dxa"/>
            <w:vAlign w:val="center"/>
          </w:tcPr>
          <w:p w14:paraId="7C79A9CE">
            <w:pPr>
              <w:pStyle w:val="30"/>
            </w:pPr>
            <w:r>
              <w:rPr>
                <w:rFonts w:hint="eastAsia"/>
              </w:rPr>
              <w:t>同比选公告</w:t>
            </w:r>
          </w:p>
        </w:tc>
      </w:tr>
      <w:tr w14:paraId="5D96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6CBD617D">
            <w:pPr>
              <w:pStyle w:val="29"/>
            </w:pPr>
            <w:r>
              <w:rPr>
                <w:rFonts w:hint="eastAsia"/>
              </w:rPr>
              <w:t>1.3.3</w:t>
            </w:r>
          </w:p>
        </w:tc>
        <w:tc>
          <w:tcPr>
            <w:tcW w:w="1902" w:type="dxa"/>
            <w:vAlign w:val="center"/>
          </w:tcPr>
          <w:p w14:paraId="2E8B27ED">
            <w:pPr>
              <w:pStyle w:val="29"/>
            </w:pPr>
            <w:r>
              <w:rPr>
                <w:rFonts w:hint="eastAsia"/>
              </w:rPr>
              <w:t>质量要求</w:t>
            </w:r>
          </w:p>
        </w:tc>
        <w:tc>
          <w:tcPr>
            <w:tcW w:w="6129" w:type="dxa"/>
          </w:tcPr>
          <w:p w14:paraId="4167902B">
            <w:pPr>
              <w:pStyle w:val="30"/>
            </w:pPr>
            <w:r>
              <w:rPr>
                <w:rFonts w:hint="eastAsia"/>
              </w:rPr>
              <w:t>符合国家法律、法规要求，满足比选文件要求，验收合格。</w:t>
            </w:r>
          </w:p>
        </w:tc>
      </w:tr>
      <w:tr w14:paraId="3413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32076006">
            <w:pPr>
              <w:pStyle w:val="29"/>
            </w:pPr>
            <w:r>
              <w:rPr>
                <w:rFonts w:hint="eastAsia"/>
              </w:rPr>
              <w:t>1.3.4</w:t>
            </w:r>
          </w:p>
        </w:tc>
        <w:tc>
          <w:tcPr>
            <w:tcW w:w="1902" w:type="dxa"/>
            <w:vAlign w:val="center"/>
          </w:tcPr>
          <w:p w14:paraId="39DC3579">
            <w:pPr>
              <w:pStyle w:val="29"/>
            </w:pPr>
            <w:r>
              <w:rPr>
                <w:rFonts w:hint="eastAsia"/>
              </w:rPr>
              <w:t>安全目标</w:t>
            </w:r>
          </w:p>
        </w:tc>
        <w:tc>
          <w:tcPr>
            <w:tcW w:w="6129" w:type="dxa"/>
          </w:tcPr>
          <w:p w14:paraId="508F4655">
            <w:pPr>
              <w:pStyle w:val="30"/>
            </w:pPr>
            <w:r>
              <w:rPr>
                <w:rFonts w:hint="eastAsia"/>
              </w:rPr>
              <w:t>符合国家、省市及地方相关安全法律法规、管理规定的要求。</w:t>
            </w:r>
          </w:p>
        </w:tc>
      </w:tr>
      <w:tr w14:paraId="1D99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19EA128B">
            <w:pPr>
              <w:pStyle w:val="29"/>
            </w:pPr>
            <w:r>
              <w:rPr>
                <w:rFonts w:hint="eastAsia"/>
              </w:rPr>
              <w:t>1.4.1</w:t>
            </w:r>
          </w:p>
        </w:tc>
        <w:tc>
          <w:tcPr>
            <w:tcW w:w="1902" w:type="dxa"/>
            <w:vAlign w:val="center"/>
          </w:tcPr>
          <w:p w14:paraId="5C2AFD48">
            <w:pPr>
              <w:pStyle w:val="29"/>
            </w:pPr>
            <w:r>
              <w:rPr>
                <w:rFonts w:hint="eastAsia"/>
              </w:rPr>
              <w:t>比选申请人资质条件、能力和信誉</w:t>
            </w:r>
          </w:p>
        </w:tc>
        <w:tc>
          <w:tcPr>
            <w:tcW w:w="6129" w:type="dxa"/>
            <w:vAlign w:val="center"/>
          </w:tcPr>
          <w:p w14:paraId="1E3CEC94">
            <w:pPr>
              <w:pStyle w:val="30"/>
            </w:pPr>
            <w:r>
              <w:rPr>
                <w:rFonts w:hint="eastAsia"/>
              </w:rPr>
              <w:t>（1）资质最低要求：见附录1</w:t>
            </w:r>
          </w:p>
          <w:p w14:paraId="13784C04">
            <w:pPr>
              <w:pStyle w:val="30"/>
            </w:pPr>
            <w:r>
              <w:rPr>
                <w:rFonts w:hint="eastAsia"/>
              </w:rPr>
              <w:t>（2）业绩最低要求：见附件2</w:t>
            </w:r>
          </w:p>
          <w:p w14:paraId="4B95054C">
            <w:pPr>
              <w:pStyle w:val="30"/>
            </w:pPr>
            <w:r>
              <w:rPr>
                <w:rFonts w:hint="eastAsia"/>
              </w:rPr>
              <w:t>（4）主要人员最低要求：见附录3</w:t>
            </w:r>
          </w:p>
          <w:p w14:paraId="196ECF06">
            <w:pPr>
              <w:pStyle w:val="30"/>
            </w:pPr>
            <w:r>
              <w:rPr>
                <w:rFonts w:hint="eastAsia"/>
              </w:rPr>
              <w:t>（3）信誉最低要求：见附录4</w:t>
            </w:r>
          </w:p>
          <w:p w14:paraId="1E091834">
            <w:pPr>
              <w:pStyle w:val="30"/>
            </w:pPr>
            <w:r>
              <w:rPr>
                <w:rFonts w:hint="eastAsia"/>
              </w:rPr>
              <w:t>注：上述要求应附相关证明材料，证明材料以第六章比选申请文件格式中要求为准</w:t>
            </w:r>
            <w:r>
              <w:t>。</w:t>
            </w:r>
          </w:p>
        </w:tc>
      </w:tr>
      <w:tr w14:paraId="2985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13996DB2">
            <w:pPr>
              <w:pStyle w:val="29"/>
            </w:pPr>
            <w:r>
              <w:rPr>
                <w:rFonts w:hint="eastAsia"/>
              </w:rPr>
              <w:t>1.4.2</w:t>
            </w:r>
          </w:p>
        </w:tc>
        <w:tc>
          <w:tcPr>
            <w:tcW w:w="1902" w:type="dxa"/>
            <w:vAlign w:val="center"/>
          </w:tcPr>
          <w:p w14:paraId="773928F5">
            <w:pPr>
              <w:pStyle w:val="29"/>
            </w:pPr>
            <w:r>
              <w:rPr>
                <w:rFonts w:hint="eastAsia"/>
              </w:rPr>
              <w:t>是否接受</w:t>
            </w:r>
          </w:p>
          <w:p w14:paraId="665B8098">
            <w:pPr>
              <w:pStyle w:val="29"/>
            </w:pPr>
            <w:r>
              <w:rPr>
                <w:rFonts w:hint="eastAsia"/>
              </w:rPr>
              <w:t>联合体比选</w:t>
            </w:r>
          </w:p>
        </w:tc>
        <w:tc>
          <w:tcPr>
            <w:tcW w:w="6129" w:type="dxa"/>
            <w:vAlign w:val="center"/>
          </w:tcPr>
          <w:p w14:paraId="139C1463">
            <w:pPr>
              <w:pStyle w:val="30"/>
            </w:pPr>
            <w:r>
              <w:t>不接受。</w:t>
            </w:r>
          </w:p>
        </w:tc>
      </w:tr>
      <w:tr w14:paraId="14AA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623A3B94">
            <w:pPr>
              <w:pStyle w:val="29"/>
            </w:pPr>
            <w:r>
              <w:rPr>
                <w:rFonts w:hint="eastAsia"/>
              </w:rPr>
              <w:t>1.4.3</w:t>
            </w:r>
          </w:p>
        </w:tc>
        <w:tc>
          <w:tcPr>
            <w:tcW w:w="1902" w:type="dxa"/>
            <w:vAlign w:val="center"/>
          </w:tcPr>
          <w:p w14:paraId="7E9EB85C">
            <w:pPr>
              <w:pStyle w:val="29"/>
            </w:pPr>
            <w:r>
              <w:rPr>
                <w:rFonts w:hint="eastAsia"/>
              </w:rPr>
              <w:t>比选申请人不得存在的其他关联情形</w:t>
            </w:r>
          </w:p>
        </w:tc>
        <w:tc>
          <w:tcPr>
            <w:tcW w:w="6129" w:type="dxa"/>
          </w:tcPr>
          <w:p w14:paraId="472A4CAA">
            <w:pPr>
              <w:pStyle w:val="30"/>
            </w:pPr>
            <w:r>
              <w:rPr>
                <w:rFonts w:hint="eastAsia"/>
              </w:rPr>
              <w:t>1.第（3）目补充：单位负责人，是指单位法定代表人或者法律、行政法规规定代表单位行使职权的主要负责人。</w:t>
            </w:r>
          </w:p>
          <w:p w14:paraId="718CB46C">
            <w:pPr>
              <w:pStyle w:val="30"/>
            </w:pPr>
            <w:r>
              <w:rPr>
                <w:rFonts w:hint="eastAsia"/>
              </w:rPr>
              <w:t>2.第（4）目补充：</w:t>
            </w:r>
          </w:p>
          <w:p w14:paraId="0D9C3F68">
            <w:pPr>
              <w:pStyle w:val="30"/>
            </w:pPr>
            <w:r>
              <w:rPr>
                <w:rFonts w:hint="eastAsia"/>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7893ED8F">
            <w:pPr>
              <w:pStyle w:val="30"/>
              <w:rPr>
                <w:rFonts w:hint="eastAsia"/>
              </w:rPr>
            </w:pPr>
            <w:r>
              <w:rPr>
                <w:rFonts w:hint="eastAsia"/>
              </w:rPr>
              <w:t>管理关系，是指不具有出资持股关系的其他单位之间存在的管理与被管理关系。</w:t>
            </w:r>
          </w:p>
          <w:p w14:paraId="0E96F4EA">
            <w:pPr>
              <w:pStyle w:val="30"/>
              <w:rPr>
                <w:rFonts w:hint="eastAsia" w:eastAsia="宋体"/>
                <w:lang w:eastAsia="zh-CN"/>
              </w:rPr>
            </w:pPr>
            <w:r>
              <w:rPr>
                <w:rFonts w:hint="eastAsia"/>
              </w:rPr>
              <w:t>3.第（10）目其他关联情形：</w:t>
            </w:r>
            <w:r>
              <w:rPr>
                <w:rFonts w:hint="eastAsia"/>
                <w:lang w:val="en-US" w:eastAsia="zh-CN"/>
              </w:rPr>
              <w:t>比选申请</w:t>
            </w:r>
            <w:r>
              <w:rPr>
                <w:rFonts w:hint="eastAsia"/>
              </w:rPr>
              <w:t>人与成都建工集团有限公司、四川公路桥梁建设集团有限公司</w:t>
            </w:r>
            <w:r>
              <w:rPr>
                <w:rFonts w:hint="eastAsia"/>
                <w:lang w:eastAsia="zh-CN"/>
              </w:rPr>
              <w:t>、四川川交路桥有限责任公司</w:t>
            </w:r>
            <w:r>
              <w:rPr>
                <w:rFonts w:hint="eastAsia"/>
              </w:rPr>
              <w:t>及其工地试验室母体检测机构存在本项第（3）、（4）目规定的关系，将不能参与</w:t>
            </w:r>
            <w:r>
              <w:rPr>
                <w:rFonts w:hint="eastAsia"/>
                <w:lang w:val="en-US" w:eastAsia="zh-CN"/>
              </w:rPr>
              <w:t>比选申请</w:t>
            </w:r>
            <w:r>
              <w:rPr>
                <w:rFonts w:hint="eastAsia"/>
              </w:rPr>
              <w:t>。若存在上述情况，评标时投标文件将按无效投标处理。</w:t>
            </w:r>
          </w:p>
        </w:tc>
      </w:tr>
      <w:tr w14:paraId="24AF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04368B93">
            <w:pPr>
              <w:pStyle w:val="29"/>
            </w:pPr>
            <w:r>
              <w:rPr>
                <w:rFonts w:hint="eastAsia"/>
              </w:rPr>
              <w:t>1.4.4</w:t>
            </w:r>
          </w:p>
        </w:tc>
        <w:tc>
          <w:tcPr>
            <w:tcW w:w="1902" w:type="dxa"/>
            <w:vAlign w:val="center"/>
          </w:tcPr>
          <w:p w14:paraId="31407EE2">
            <w:pPr>
              <w:pStyle w:val="29"/>
            </w:pPr>
            <w:r>
              <w:rPr>
                <w:rFonts w:hint="eastAsia"/>
              </w:rPr>
              <w:t>比选申请人不得存在下列不良状况或不良信用记录</w:t>
            </w:r>
          </w:p>
        </w:tc>
        <w:tc>
          <w:tcPr>
            <w:tcW w:w="6129" w:type="dxa"/>
            <w:vAlign w:val="center"/>
          </w:tcPr>
          <w:p w14:paraId="6292E0EB">
            <w:pPr>
              <w:pStyle w:val="30"/>
            </w:pPr>
            <w:r>
              <w:rPr>
                <w:rFonts w:hint="eastAsia"/>
              </w:rPr>
              <w:t>（1）见本须知前附表第1.4.1项中“信誉最低要求”；</w:t>
            </w:r>
          </w:p>
          <w:p w14:paraId="16F1AE70">
            <w:pPr>
              <w:pStyle w:val="30"/>
            </w:pPr>
            <w:r>
              <w:rPr>
                <w:rFonts w:hint="eastAsia"/>
              </w:rPr>
              <w:t>（2）其它不良状况或不良信誉记录：无 。</w:t>
            </w:r>
          </w:p>
        </w:tc>
      </w:tr>
      <w:tr w14:paraId="2C0D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1C1CD911">
            <w:pPr>
              <w:pStyle w:val="29"/>
            </w:pPr>
            <w:r>
              <w:rPr>
                <w:rFonts w:hint="eastAsia"/>
              </w:rPr>
              <w:t>1.9.1</w:t>
            </w:r>
          </w:p>
        </w:tc>
        <w:tc>
          <w:tcPr>
            <w:tcW w:w="1902" w:type="dxa"/>
            <w:vAlign w:val="center"/>
          </w:tcPr>
          <w:p w14:paraId="428B35A4">
            <w:pPr>
              <w:pStyle w:val="29"/>
            </w:pPr>
            <w:r>
              <w:rPr>
                <w:rFonts w:hint="eastAsia"/>
              </w:rPr>
              <w:t>踏勘现场</w:t>
            </w:r>
          </w:p>
        </w:tc>
        <w:tc>
          <w:tcPr>
            <w:tcW w:w="6129" w:type="dxa"/>
            <w:vAlign w:val="center"/>
          </w:tcPr>
          <w:p w14:paraId="4F48BDFF">
            <w:pPr>
              <w:pStyle w:val="30"/>
            </w:pPr>
            <w:r>
              <w:rPr>
                <w:rFonts w:hint="eastAsia"/>
              </w:rPr>
              <w:t>比选人不组织</w:t>
            </w:r>
          </w:p>
        </w:tc>
      </w:tr>
      <w:tr w14:paraId="0A78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80" w:type="dxa"/>
            <w:vAlign w:val="center"/>
          </w:tcPr>
          <w:p w14:paraId="0A5BD330">
            <w:pPr>
              <w:pStyle w:val="29"/>
            </w:pPr>
            <w:r>
              <w:rPr>
                <w:rFonts w:hint="eastAsia"/>
              </w:rPr>
              <w:t>1.10.1</w:t>
            </w:r>
          </w:p>
        </w:tc>
        <w:tc>
          <w:tcPr>
            <w:tcW w:w="1902" w:type="dxa"/>
            <w:vAlign w:val="center"/>
          </w:tcPr>
          <w:p w14:paraId="20C45497">
            <w:pPr>
              <w:pStyle w:val="29"/>
            </w:pPr>
            <w:r>
              <w:rPr>
                <w:rFonts w:hint="eastAsia"/>
              </w:rPr>
              <w:t>比选申请人在比选预备会前提出问题</w:t>
            </w:r>
          </w:p>
        </w:tc>
        <w:tc>
          <w:tcPr>
            <w:tcW w:w="6129" w:type="dxa"/>
            <w:vAlign w:val="center"/>
          </w:tcPr>
          <w:p w14:paraId="0A6DD4B6">
            <w:pPr>
              <w:pStyle w:val="30"/>
            </w:pPr>
            <w:r>
              <w:rPr>
                <w:rFonts w:hint="eastAsia"/>
              </w:rPr>
              <w:t>比选人不组织。</w:t>
            </w:r>
          </w:p>
        </w:tc>
      </w:tr>
      <w:tr w14:paraId="6280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A9DB49C">
            <w:pPr>
              <w:pStyle w:val="29"/>
            </w:pPr>
            <w:r>
              <w:rPr>
                <w:rFonts w:hint="eastAsia"/>
              </w:rPr>
              <w:t>1.11.1</w:t>
            </w:r>
          </w:p>
        </w:tc>
        <w:tc>
          <w:tcPr>
            <w:tcW w:w="1902" w:type="dxa"/>
            <w:tcBorders>
              <w:top w:val="single" w:color="auto" w:sz="4" w:space="0"/>
              <w:left w:val="single" w:color="auto" w:sz="4" w:space="0"/>
              <w:bottom w:val="single" w:color="auto" w:sz="4" w:space="0"/>
              <w:right w:val="single" w:color="auto" w:sz="4" w:space="0"/>
            </w:tcBorders>
            <w:vAlign w:val="center"/>
          </w:tcPr>
          <w:p w14:paraId="6A1DAF36">
            <w:pPr>
              <w:pStyle w:val="29"/>
            </w:pPr>
            <w:r>
              <w:rPr>
                <w:rFonts w:hint="eastAsia"/>
              </w:rPr>
              <w:t>分包</w:t>
            </w:r>
          </w:p>
        </w:tc>
        <w:tc>
          <w:tcPr>
            <w:tcW w:w="6129" w:type="dxa"/>
            <w:tcBorders>
              <w:top w:val="single" w:color="auto" w:sz="4" w:space="0"/>
              <w:left w:val="single" w:color="auto" w:sz="4" w:space="0"/>
              <w:bottom w:val="single" w:color="auto" w:sz="4" w:space="0"/>
              <w:right w:val="single" w:color="auto" w:sz="4" w:space="0"/>
            </w:tcBorders>
            <w:vAlign w:val="center"/>
          </w:tcPr>
          <w:p w14:paraId="7DC07338">
            <w:pPr>
              <w:pStyle w:val="30"/>
            </w:pPr>
            <w:r>
              <w:rPr>
                <w:rFonts w:hint="eastAsia"/>
              </w:rPr>
              <w:t>本项目不允许分包。</w:t>
            </w:r>
          </w:p>
        </w:tc>
      </w:tr>
      <w:tr w14:paraId="408C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5735B89">
            <w:pPr>
              <w:pStyle w:val="29"/>
            </w:pPr>
            <w:r>
              <w:rPr>
                <w:rFonts w:hint="eastAsia"/>
              </w:rPr>
              <w:t>2.1.1</w:t>
            </w:r>
          </w:p>
        </w:tc>
        <w:tc>
          <w:tcPr>
            <w:tcW w:w="1902" w:type="dxa"/>
            <w:tcBorders>
              <w:top w:val="single" w:color="auto" w:sz="4" w:space="0"/>
              <w:left w:val="single" w:color="auto" w:sz="4" w:space="0"/>
              <w:bottom w:val="single" w:color="auto" w:sz="4" w:space="0"/>
              <w:right w:val="single" w:color="auto" w:sz="4" w:space="0"/>
            </w:tcBorders>
            <w:vAlign w:val="center"/>
          </w:tcPr>
          <w:p w14:paraId="65D87440">
            <w:pPr>
              <w:pStyle w:val="29"/>
            </w:pPr>
            <w:r>
              <w:rPr>
                <w:rFonts w:hint="eastAsia"/>
              </w:rPr>
              <w:t>构成比选文件</w:t>
            </w:r>
          </w:p>
          <w:p w14:paraId="775F75DF">
            <w:pPr>
              <w:pStyle w:val="29"/>
            </w:pPr>
            <w:r>
              <w:rPr>
                <w:rFonts w:hint="eastAsia"/>
              </w:rPr>
              <w:t>的其他材料</w:t>
            </w:r>
          </w:p>
        </w:tc>
        <w:tc>
          <w:tcPr>
            <w:tcW w:w="6129" w:type="dxa"/>
            <w:tcBorders>
              <w:top w:val="single" w:color="auto" w:sz="4" w:space="0"/>
              <w:left w:val="single" w:color="auto" w:sz="4" w:space="0"/>
              <w:bottom w:val="single" w:color="auto" w:sz="4" w:space="0"/>
              <w:right w:val="single" w:color="auto" w:sz="4" w:space="0"/>
            </w:tcBorders>
            <w:vAlign w:val="center"/>
          </w:tcPr>
          <w:p w14:paraId="54FC6BF4">
            <w:pPr>
              <w:pStyle w:val="30"/>
            </w:pPr>
            <w:r>
              <w:rPr>
                <w:rFonts w:hint="eastAsia"/>
              </w:rPr>
              <w:t>比选文件补遗书（如果有）</w:t>
            </w:r>
          </w:p>
        </w:tc>
      </w:tr>
      <w:tr w14:paraId="7B5B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B543CFC">
            <w:pPr>
              <w:pStyle w:val="29"/>
            </w:pPr>
            <w:r>
              <w:rPr>
                <w:rFonts w:hint="eastAsia"/>
              </w:rPr>
              <w:t>2.2.1</w:t>
            </w:r>
          </w:p>
        </w:tc>
        <w:tc>
          <w:tcPr>
            <w:tcW w:w="1902" w:type="dxa"/>
            <w:tcBorders>
              <w:top w:val="single" w:color="auto" w:sz="4" w:space="0"/>
              <w:left w:val="single" w:color="auto" w:sz="4" w:space="0"/>
              <w:bottom w:val="single" w:color="auto" w:sz="4" w:space="0"/>
              <w:right w:val="single" w:color="auto" w:sz="4" w:space="0"/>
            </w:tcBorders>
            <w:vAlign w:val="center"/>
          </w:tcPr>
          <w:p w14:paraId="0A23F131">
            <w:pPr>
              <w:pStyle w:val="29"/>
            </w:pPr>
            <w:r>
              <w:rPr>
                <w:rFonts w:hint="eastAsia"/>
              </w:rPr>
              <w:t>比选申请人要求澄清比选文件</w:t>
            </w:r>
          </w:p>
        </w:tc>
        <w:tc>
          <w:tcPr>
            <w:tcW w:w="6129" w:type="dxa"/>
            <w:tcBorders>
              <w:top w:val="single" w:color="auto" w:sz="4" w:space="0"/>
              <w:left w:val="single" w:color="auto" w:sz="4" w:space="0"/>
              <w:bottom w:val="single" w:color="auto" w:sz="4" w:space="0"/>
              <w:right w:val="single" w:color="auto" w:sz="4" w:space="0"/>
            </w:tcBorders>
            <w:vAlign w:val="center"/>
          </w:tcPr>
          <w:p w14:paraId="7F9FC374">
            <w:pPr>
              <w:pStyle w:val="30"/>
            </w:pPr>
            <w:r>
              <w:rPr>
                <w:rFonts w:hint="eastAsia"/>
              </w:rPr>
              <w:t>时间：递交比选申请文件截止之日2天前</w:t>
            </w:r>
          </w:p>
          <w:p w14:paraId="30703351">
            <w:pPr>
              <w:pStyle w:val="30"/>
            </w:pPr>
            <w:r>
              <w:rPr>
                <w:rFonts w:hint="eastAsia"/>
              </w:rPr>
              <w:t>形式：以书面形式通知比选人提出。</w:t>
            </w:r>
          </w:p>
        </w:tc>
      </w:tr>
      <w:tr w14:paraId="4104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5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F113664">
            <w:pPr>
              <w:pStyle w:val="29"/>
            </w:pPr>
            <w:r>
              <w:rPr>
                <w:rFonts w:hint="eastAsia"/>
              </w:rPr>
              <w:t>2.2.2</w:t>
            </w:r>
          </w:p>
        </w:tc>
        <w:tc>
          <w:tcPr>
            <w:tcW w:w="1902" w:type="dxa"/>
            <w:tcBorders>
              <w:top w:val="single" w:color="auto" w:sz="4" w:space="0"/>
              <w:left w:val="single" w:color="auto" w:sz="4" w:space="0"/>
              <w:bottom w:val="single" w:color="auto" w:sz="4" w:space="0"/>
              <w:right w:val="single" w:color="auto" w:sz="4" w:space="0"/>
            </w:tcBorders>
            <w:vAlign w:val="center"/>
          </w:tcPr>
          <w:p w14:paraId="0770BD94">
            <w:pPr>
              <w:pStyle w:val="29"/>
            </w:pPr>
            <w:r>
              <w:rPr>
                <w:rFonts w:hint="eastAsia"/>
              </w:rPr>
              <w:t>比选</w:t>
            </w:r>
            <w:r>
              <w:t>人对</w:t>
            </w:r>
            <w:r>
              <w:rPr>
                <w:rFonts w:hint="eastAsia"/>
              </w:rPr>
              <w:t>比选</w:t>
            </w:r>
            <w:r>
              <w:t>文件的澄清</w:t>
            </w:r>
          </w:p>
        </w:tc>
        <w:tc>
          <w:tcPr>
            <w:tcW w:w="6129" w:type="dxa"/>
            <w:tcBorders>
              <w:top w:val="single" w:color="auto" w:sz="4" w:space="0"/>
              <w:left w:val="single" w:color="auto" w:sz="4" w:space="0"/>
              <w:bottom w:val="single" w:color="auto" w:sz="4" w:space="0"/>
              <w:right w:val="single" w:color="auto" w:sz="4" w:space="0"/>
            </w:tcBorders>
            <w:vAlign w:val="center"/>
          </w:tcPr>
          <w:p w14:paraId="72085979">
            <w:pPr>
              <w:pStyle w:val="30"/>
            </w:pPr>
            <w:r>
              <w:rPr>
                <w:rFonts w:hint="eastAsia"/>
              </w:rPr>
              <w:t>比选文件的澄清应于比选截止时间3</w:t>
            </w:r>
            <w:r>
              <w:t>日前在发布</w:t>
            </w:r>
            <w:r>
              <w:rPr>
                <w:rFonts w:hint="eastAsia"/>
              </w:rPr>
              <w:t>比选</w:t>
            </w:r>
            <w:r>
              <w:t>公告的同一平台上发布，若澄清文件发出时间距</w:t>
            </w:r>
            <w:r>
              <w:rPr>
                <w:rFonts w:hint="eastAsia"/>
              </w:rPr>
              <w:t>比选</w:t>
            </w:r>
            <w:r>
              <w:t>截止时间不足</w:t>
            </w:r>
            <w:r>
              <w:rPr>
                <w:rFonts w:hint="eastAsia"/>
              </w:rPr>
              <w:t>3</w:t>
            </w:r>
            <w:r>
              <w:t>日，则应延长</w:t>
            </w:r>
            <w:r>
              <w:rPr>
                <w:rFonts w:hint="eastAsia"/>
              </w:rPr>
              <w:t>比选</w:t>
            </w:r>
            <w:r>
              <w:t>截止时间（不影响</w:t>
            </w:r>
            <w:r>
              <w:rPr>
                <w:rFonts w:hint="eastAsia"/>
              </w:rPr>
              <w:t>比选申请文件</w:t>
            </w:r>
            <w:r>
              <w:t>编制的情形除外）。</w:t>
            </w:r>
            <w:r>
              <w:rPr>
                <w:rFonts w:hint="eastAsia"/>
              </w:rPr>
              <w:t>比选申请人</w:t>
            </w:r>
            <w:r>
              <w:t>应实时在发布</w:t>
            </w:r>
            <w:r>
              <w:rPr>
                <w:rFonts w:hint="eastAsia"/>
              </w:rPr>
              <w:t>比选</w:t>
            </w:r>
            <w:r>
              <w:t>公告的网站上查询澄清文件，</w:t>
            </w:r>
            <w:r>
              <w:rPr>
                <w:rFonts w:hint="eastAsia"/>
              </w:rPr>
              <w:t>比选申请人</w:t>
            </w:r>
            <w:r>
              <w:t>未下载澄清文件的，其后果由</w:t>
            </w:r>
            <w:r>
              <w:rPr>
                <w:rFonts w:hint="eastAsia"/>
              </w:rPr>
              <w:t>比选申请人</w:t>
            </w:r>
            <w:r>
              <w:t>承担。</w:t>
            </w:r>
          </w:p>
        </w:tc>
      </w:tr>
      <w:tr w14:paraId="1B50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8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8119F91">
            <w:pPr>
              <w:pStyle w:val="29"/>
            </w:pPr>
            <w:r>
              <w:rPr>
                <w:rFonts w:hint="eastAsia"/>
              </w:rPr>
              <w:t>2.2.3</w:t>
            </w:r>
          </w:p>
        </w:tc>
        <w:tc>
          <w:tcPr>
            <w:tcW w:w="1902" w:type="dxa"/>
            <w:tcBorders>
              <w:top w:val="single" w:color="auto" w:sz="4" w:space="0"/>
              <w:left w:val="single" w:color="auto" w:sz="4" w:space="0"/>
              <w:bottom w:val="single" w:color="auto" w:sz="4" w:space="0"/>
              <w:right w:val="single" w:color="auto" w:sz="4" w:space="0"/>
            </w:tcBorders>
            <w:vAlign w:val="center"/>
          </w:tcPr>
          <w:p w14:paraId="1AB01E0F">
            <w:pPr>
              <w:pStyle w:val="29"/>
            </w:pPr>
            <w:r>
              <w:rPr>
                <w:rFonts w:hint="eastAsia"/>
              </w:rPr>
              <w:t>比选申请人确认收到比选文件澄清时间</w:t>
            </w:r>
          </w:p>
        </w:tc>
        <w:tc>
          <w:tcPr>
            <w:tcW w:w="6129" w:type="dxa"/>
            <w:tcBorders>
              <w:top w:val="single" w:color="auto" w:sz="4" w:space="0"/>
              <w:left w:val="single" w:color="auto" w:sz="4" w:space="0"/>
              <w:bottom w:val="single" w:color="auto" w:sz="4" w:space="0"/>
              <w:right w:val="single" w:color="auto" w:sz="4" w:space="0"/>
            </w:tcBorders>
            <w:vAlign w:val="center"/>
          </w:tcPr>
          <w:p w14:paraId="3E04C8D2">
            <w:pPr>
              <w:pStyle w:val="30"/>
            </w:pPr>
            <w:r>
              <w:rPr>
                <w:rFonts w:hint="eastAsia"/>
              </w:rPr>
              <w:t>无需确认。比选申请人应实时关注补遗书发布网站，并及时下载澄清内容。因比选申请人自身原因未及时获知澄清内容而导致的任何后果将由比选申请人自行承担</w:t>
            </w:r>
          </w:p>
        </w:tc>
      </w:tr>
      <w:tr w14:paraId="08CF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C000C09">
            <w:pPr>
              <w:pStyle w:val="29"/>
            </w:pPr>
            <w:r>
              <w:rPr>
                <w:rFonts w:hint="eastAsia"/>
              </w:rPr>
              <w:t>2.3.1</w:t>
            </w:r>
          </w:p>
        </w:tc>
        <w:tc>
          <w:tcPr>
            <w:tcW w:w="1902" w:type="dxa"/>
            <w:tcBorders>
              <w:top w:val="single" w:color="auto" w:sz="4" w:space="0"/>
              <w:left w:val="single" w:color="auto" w:sz="4" w:space="0"/>
              <w:bottom w:val="single" w:color="auto" w:sz="4" w:space="0"/>
              <w:right w:val="single" w:color="auto" w:sz="4" w:space="0"/>
            </w:tcBorders>
            <w:vAlign w:val="center"/>
          </w:tcPr>
          <w:p w14:paraId="59DB6694">
            <w:pPr>
              <w:pStyle w:val="29"/>
            </w:pPr>
            <w:r>
              <w:rPr>
                <w:rFonts w:hint="eastAsia"/>
              </w:rPr>
              <w:t>比选文件修改</w:t>
            </w:r>
          </w:p>
          <w:p w14:paraId="65D98ABC">
            <w:pPr>
              <w:pStyle w:val="29"/>
            </w:pPr>
            <w:r>
              <w:rPr>
                <w:rFonts w:hint="eastAsia"/>
              </w:rPr>
              <w:t>发出的形式</w:t>
            </w:r>
          </w:p>
        </w:tc>
        <w:tc>
          <w:tcPr>
            <w:tcW w:w="6129" w:type="dxa"/>
            <w:tcBorders>
              <w:top w:val="single" w:color="auto" w:sz="4" w:space="0"/>
              <w:left w:val="single" w:color="auto" w:sz="4" w:space="0"/>
              <w:bottom w:val="single" w:color="auto" w:sz="4" w:space="0"/>
              <w:right w:val="single" w:color="auto" w:sz="4" w:space="0"/>
            </w:tcBorders>
            <w:vAlign w:val="center"/>
          </w:tcPr>
          <w:p w14:paraId="27F75EBA">
            <w:pPr>
              <w:pStyle w:val="30"/>
            </w:pPr>
            <w:r>
              <w:rPr>
                <w:rFonts w:hint="eastAsia"/>
              </w:rPr>
              <w:t>同本须知前附表第2.2.2款</w:t>
            </w:r>
          </w:p>
        </w:tc>
      </w:tr>
      <w:tr w14:paraId="1827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A19E3BB">
            <w:pPr>
              <w:pStyle w:val="29"/>
            </w:pPr>
            <w:r>
              <w:rPr>
                <w:rFonts w:hint="eastAsia"/>
              </w:rPr>
              <w:t>2.3.2</w:t>
            </w:r>
          </w:p>
        </w:tc>
        <w:tc>
          <w:tcPr>
            <w:tcW w:w="1902" w:type="dxa"/>
            <w:tcBorders>
              <w:top w:val="single" w:color="auto" w:sz="4" w:space="0"/>
              <w:left w:val="single" w:color="auto" w:sz="4" w:space="0"/>
              <w:bottom w:val="single" w:color="auto" w:sz="4" w:space="0"/>
              <w:right w:val="single" w:color="auto" w:sz="4" w:space="0"/>
            </w:tcBorders>
            <w:vAlign w:val="center"/>
          </w:tcPr>
          <w:p w14:paraId="7B2B45C4">
            <w:pPr>
              <w:pStyle w:val="29"/>
            </w:pPr>
            <w:r>
              <w:rPr>
                <w:rFonts w:hint="eastAsia"/>
              </w:rPr>
              <w:t>比选申请人确认收到比选文件修改</w:t>
            </w:r>
          </w:p>
        </w:tc>
        <w:tc>
          <w:tcPr>
            <w:tcW w:w="6129" w:type="dxa"/>
            <w:tcBorders>
              <w:top w:val="single" w:color="auto" w:sz="4" w:space="0"/>
              <w:left w:val="single" w:color="auto" w:sz="4" w:space="0"/>
              <w:bottom w:val="single" w:color="auto" w:sz="4" w:space="0"/>
              <w:right w:val="single" w:color="auto" w:sz="4" w:space="0"/>
            </w:tcBorders>
            <w:vAlign w:val="center"/>
          </w:tcPr>
          <w:p w14:paraId="46198949">
            <w:pPr>
              <w:pStyle w:val="30"/>
            </w:pPr>
            <w:r>
              <w:rPr>
                <w:rFonts w:hint="eastAsia"/>
              </w:rPr>
              <w:t>同本须知前附表第2.2.3款</w:t>
            </w:r>
          </w:p>
        </w:tc>
      </w:tr>
      <w:tr w14:paraId="10D9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A855E02">
            <w:pPr>
              <w:pStyle w:val="29"/>
            </w:pPr>
            <w:r>
              <w:rPr>
                <w:rFonts w:hint="eastAsia"/>
              </w:rPr>
              <w:t>3.1.1</w:t>
            </w:r>
          </w:p>
        </w:tc>
        <w:tc>
          <w:tcPr>
            <w:tcW w:w="1902" w:type="dxa"/>
            <w:tcBorders>
              <w:top w:val="single" w:color="auto" w:sz="4" w:space="0"/>
              <w:left w:val="single" w:color="auto" w:sz="4" w:space="0"/>
              <w:bottom w:val="single" w:color="auto" w:sz="4" w:space="0"/>
              <w:right w:val="single" w:color="auto" w:sz="4" w:space="0"/>
            </w:tcBorders>
            <w:vAlign w:val="center"/>
          </w:tcPr>
          <w:p w14:paraId="72987F48">
            <w:pPr>
              <w:pStyle w:val="29"/>
            </w:pPr>
            <w:r>
              <w:rPr>
                <w:rFonts w:hint="eastAsia"/>
              </w:rPr>
              <w:t>构成比选申请文件的其他资料</w:t>
            </w:r>
          </w:p>
        </w:tc>
        <w:tc>
          <w:tcPr>
            <w:tcW w:w="6129" w:type="dxa"/>
            <w:tcBorders>
              <w:top w:val="single" w:color="auto" w:sz="4" w:space="0"/>
              <w:left w:val="single" w:color="auto" w:sz="4" w:space="0"/>
              <w:bottom w:val="single" w:color="auto" w:sz="4" w:space="0"/>
              <w:right w:val="single" w:color="auto" w:sz="4" w:space="0"/>
            </w:tcBorders>
            <w:vAlign w:val="center"/>
          </w:tcPr>
          <w:p w14:paraId="413F0452">
            <w:pPr>
              <w:pStyle w:val="30"/>
            </w:pPr>
            <w:r>
              <w:rPr>
                <w:rFonts w:hint="eastAsia"/>
              </w:rPr>
              <w:t>见第五章“比选申请文件格式”</w:t>
            </w:r>
          </w:p>
        </w:tc>
      </w:tr>
      <w:tr w14:paraId="2E57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27FA3AA">
            <w:pPr>
              <w:pStyle w:val="29"/>
            </w:pPr>
            <w:r>
              <w:rPr>
                <w:rFonts w:hint="eastAsia"/>
              </w:rPr>
              <w:t>3.2.1</w:t>
            </w:r>
          </w:p>
        </w:tc>
        <w:tc>
          <w:tcPr>
            <w:tcW w:w="1902" w:type="dxa"/>
            <w:tcBorders>
              <w:top w:val="single" w:color="auto" w:sz="4" w:space="0"/>
              <w:left w:val="single" w:color="auto" w:sz="4" w:space="0"/>
              <w:bottom w:val="single" w:color="auto" w:sz="4" w:space="0"/>
              <w:right w:val="single" w:color="auto" w:sz="4" w:space="0"/>
            </w:tcBorders>
            <w:vAlign w:val="center"/>
          </w:tcPr>
          <w:p w14:paraId="12F2952E">
            <w:pPr>
              <w:pStyle w:val="29"/>
            </w:pPr>
            <w:r>
              <w:rPr>
                <w:rFonts w:hint="eastAsia"/>
              </w:rPr>
              <w:t>增值税税金的</w:t>
            </w:r>
          </w:p>
          <w:p w14:paraId="54B46D46">
            <w:pPr>
              <w:pStyle w:val="29"/>
            </w:pPr>
            <w:r>
              <w:rPr>
                <w:rFonts w:hint="eastAsia"/>
              </w:rPr>
              <w:t>计算方法</w:t>
            </w:r>
          </w:p>
        </w:tc>
        <w:tc>
          <w:tcPr>
            <w:tcW w:w="6129" w:type="dxa"/>
            <w:tcBorders>
              <w:top w:val="single" w:color="auto" w:sz="4" w:space="0"/>
              <w:left w:val="single" w:color="auto" w:sz="4" w:space="0"/>
              <w:bottom w:val="single" w:color="auto" w:sz="4" w:space="0"/>
              <w:right w:val="single" w:color="auto" w:sz="4" w:space="0"/>
            </w:tcBorders>
            <w:vAlign w:val="center"/>
          </w:tcPr>
          <w:p w14:paraId="55364C4D">
            <w:pPr>
              <w:pStyle w:val="30"/>
            </w:pPr>
            <w:r>
              <w:rPr>
                <w:rFonts w:hint="eastAsia"/>
              </w:rPr>
              <w:t>符合《中华人民共和国增值税暂行条例》及相关法律法规要求</w:t>
            </w:r>
          </w:p>
        </w:tc>
      </w:tr>
      <w:tr w14:paraId="68B3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AC21077">
            <w:pPr>
              <w:pStyle w:val="29"/>
            </w:pPr>
            <w:r>
              <w:rPr>
                <w:rFonts w:hint="eastAsia"/>
              </w:rPr>
              <w:t>3.2.3</w:t>
            </w:r>
          </w:p>
        </w:tc>
        <w:tc>
          <w:tcPr>
            <w:tcW w:w="1902" w:type="dxa"/>
            <w:tcBorders>
              <w:top w:val="single" w:color="auto" w:sz="4" w:space="0"/>
              <w:left w:val="single" w:color="auto" w:sz="4" w:space="0"/>
              <w:bottom w:val="single" w:color="auto" w:sz="4" w:space="0"/>
              <w:right w:val="single" w:color="auto" w:sz="4" w:space="0"/>
            </w:tcBorders>
            <w:vAlign w:val="center"/>
          </w:tcPr>
          <w:p w14:paraId="1CBE993E">
            <w:pPr>
              <w:pStyle w:val="29"/>
            </w:pPr>
            <w:r>
              <w:rPr>
                <w:rFonts w:hint="eastAsia"/>
              </w:rPr>
              <w:t>报价方式</w:t>
            </w:r>
          </w:p>
        </w:tc>
        <w:tc>
          <w:tcPr>
            <w:tcW w:w="6129" w:type="dxa"/>
            <w:tcBorders>
              <w:top w:val="single" w:color="auto" w:sz="4" w:space="0"/>
              <w:left w:val="single" w:color="auto" w:sz="4" w:space="0"/>
              <w:bottom w:val="single" w:color="auto" w:sz="4" w:space="0"/>
              <w:right w:val="single" w:color="auto" w:sz="4" w:space="0"/>
            </w:tcBorders>
            <w:vAlign w:val="center"/>
          </w:tcPr>
          <w:p w14:paraId="31344E66">
            <w:pPr>
              <w:pStyle w:val="30"/>
            </w:pPr>
            <w:r>
              <w:rPr>
                <w:rFonts w:hint="eastAsia"/>
              </w:rPr>
              <w:t>本项目采用总价报价（单位元，保留元，形如“335678元”）的形式进行报价，包含试验检测机构人员服务费、辅助人员费、设施设备费</w:t>
            </w:r>
            <w:r>
              <w:rPr>
                <w:rFonts w:hint="eastAsia"/>
                <w:lang w:eastAsia="zh-CN"/>
              </w:rPr>
              <w:t>（</w:t>
            </w:r>
            <w:r>
              <w:rPr>
                <w:rFonts w:hint="eastAsia"/>
                <w:lang w:val="en-US" w:eastAsia="zh-CN"/>
              </w:rPr>
              <w:t>包括试验检测费</w:t>
            </w:r>
            <w:r>
              <w:rPr>
                <w:rFonts w:hint="eastAsia"/>
                <w:lang w:eastAsia="zh-CN"/>
              </w:rPr>
              <w:t>）</w:t>
            </w:r>
            <w:r>
              <w:rPr>
                <w:rFonts w:hint="eastAsia"/>
              </w:rPr>
              <w:t>、一般办公费、特殊办公费、交通费、现场考察费、通讯费、管理费、利润、税金、考核费、成果评审费等全部费用，并包括在报价之内，不另行支付。</w:t>
            </w:r>
          </w:p>
        </w:tc>
      </w:tr>
      <w:tr w14:paraId="701C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2564911B">
            <w:pPr>
              <w:pStyle w:val="29"/>
            </w:pPr>
            <w:r>
              <w:rPr>
                <w:rFonts w:hint="eastAsia"/>
              </w:rPr>
              <w:t>3.2.4</w:t>
            </w:r>
          </w:p>
        </w:tc>
        <w:tc>
          <w:tcPr>
            <w:tcW w:w="1902" w:type="dxa"/>
            <w:tcBorders>
              <w:top w:val="single" w:color="auto" w:sz="4" w:space="0"/>
              <w:left w:val="single" w:color="auto" w:sz="4" w:space="0"/>
              <w:right w:val="single" w:color="auto" w:sz="4" w:space="0"/>
            </w:tcBorders>
            <w:vAlign w:val="center"/>
          </w:tcPr>
          <w:p w14:paraId="7BBA031B">
            <w:pPr>
              <w:pStyle w:val="29"/>
            </w:pPr>
            <w:r>
              <w:rPr>
                <w:rFonts w:hint="eastAsia"/>
              </w:rPr>
              <w:t>最高比选申请限价</w:t>
            </w:r>
          </w:p>
        </w:tc>
        <w:tc>
          <w:tcPr>
            <w:tcW w:w="6129" w:type="dxa"/>
            <w:tcBorders>
              <w:top w:val="single" w:color="auto" w:sz="4" w:space="0"/>
              <w:left w:val="single" w:color="auto" w:sz="4" w:space="0"/>
              <w:right w:val="single" w:color="auto" w:sz="4" w:space="0"/>
            </w:tcBorders>
            <w:vAlign w:val="center"/>
          </w:tcPr>
          <w:p w14:paraId="7E4F6270">
            <w:pPr>
              <w:pStyle w:val="30"/>
            </w:pPr>
            <w:r>
              <w:rPr>
                <w:rFonts w:hint="eastAsia"/>
              </w:rPr>
              <w:t>最高比选申请限价：</w:t>
            </w:r>
            <w:r>
              <w:rPr>
                <w:rFonts w:hint="eastAsia"/>
                <w:color w:val="0000FF"/>
              </w:rPr>
              <w:t>XQSY标段</w:t>
            </w:r>
            <w:r>
              <w:rPr>
                <w:rFonts w:hint="eastAsia"/>
                <w:color w:val="0000FF"/>
                <w:lang w:val="en-US" w:eastAsia="zh-CN"/>
              </w:rPr>
              <w:t xml:space="preserve"> </w:t>
            </w:r>
            <w:r>
              <w:rPr>
                <w:rFonts w:hint="eastAsia"/>
                <w:color w:val="0000FF"/>
              </w:rPr>
              <w:t>人民币</w:t>
            </w:r>
            <w:r>
              <w:rPr>
                <w:rFonts w:hint="eastAsia"/>
                <w:color w:val="0000FF"/>
                <w:lang w:val="en-US" w:eastAsia="zh-CN"/>
              </w:rPr>
              <w:t>323554</w:t>
            </w:r>
            <w:r>
              <w:rPr>
                <w:rFonts w:hint="eastAsia"/>
                <w:color w:val="0000FF"/>
              </w:rPr>
              <w:t>元（含税）</w:t>
            </w:r>
          </w:p>
          <w:p w14:paraId="1EAAF4B0">
            <w:pPr>
              <w:pStyle w:val="30"/>
            </w:pPr>
            <w:r>
              <w:rPr>
                <w:rFonts w:hint="eastAsia"/>
              </w:rPr>
              <w:t>注：公布的最高限价作为比选申请人报价的控制上限。比选申请报价超过最高限价的，其比选申请文件将予以否决，自动失去比选申请资格。</w:t>
            </w:r>
          </w:p>
        </w:tc>
      </w:tr>
      <w:tr w14:paraId="5117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4A8109DC">
            <w:pPr>
              <w:pStyle w:val="29"/>
            </w:pPr>
            <w:r>
              <w:rPr>
                <w:rFonts w:hint="eastAsia"/>
              </w:rPr>
              <w:t>3</w:t>
            </w:r>
            <w:r>
              <w:t>.2.5</w:t>
            </w:r>
          </w:p>
        </w:tc>
        <w:tc>
          <w:tcPr>
            <w:tcW w:w="1902" w:type="dxa"/>
            <w:tcBorders>
              <w:top w:val="single" w:color="auto" w:sz="4" w:space="0"/>
              <w:left w:val="single" w:color="auto" w:sz="4" w:space="0"/>
              <w:right w:val="single" w:color="auto" w:sz="4" w:space="0"/>
            </w:tcBorders>
            <w:vAlign w:val="center"/>
          </w:tcPr>
          <w:p w14:paraId="74A4D991">
            <w:pPr>
              <w:pStyle w:val="29"/>
            </w:pPr>
            <w:r>
              <w:rPr>
                <w:rFonts w:hint="eastAsia"/>
              </w:rPr>
              <w:t>报价的其他要求</w:t>
            </w:r>
          </w:p>
        </w:tc>
        <w:tc>
          <w:tcPr>
            <w:tcW w:w="6129" w:type="dxa"/>
            <w:tcBorders>
              <w:top w:val="single" w:color="auto" w:sz="4" w:space="0"/>
              <w:left w:val="single" w:color="auto" w:sz="4" w:space="0"/>
              <w:right w:val="single" w:color="auto" w:sz="4" w:space="0"/>
            </w:tcBorders>
            <w:vAlign w:val="center"/>
          </w:tcPr>
          <w:p w14:paraId="78E2715B">
            <w:pPr>
              <w:pStyle w:val="30"/>
            </w:pPr>
            <w:r>
              <w:rPr>
                <w:rFonts w:hint="eastAsia"/>
              </w:rPr>
              <w:t>比选申请人应充分了解本项目的总体情况以及影响比选报价的其他要素。</w:t>
            </w:r>
          </w:p>
        </w:tc>
      </w:tr>
      <w:tr w14:paraId="1F72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EA19A66">
            <w:pPr>
              <w:pStyle w:val="29"/>
            </w:pPr>
            <w:r>
              <w:rPr>
                <w:rFonts w:hint="eastAsia"/>
              </w:rPr>
              <w:t>3.3.1</w:t>
            </w:r>
          </w:p>
        </w:tc>
        <w:tc>
          <w:tcPr>
            <w:tcW w:w="1902" w:type="dxa"/>
            <w:tcBorders>
              <w:top w:val="single" w:color="auto" w:sz="4" w:space="0"/>
              <w:left w:val="single" w:color="auto" w:sz="4" w:space="0"/>
              <w:bottom w:val="single" w:color="auto" w:sz="4" w:space="0"/>
              <w:right w:val="single" w:color="auto" w:sz="4" w:space="0"/>
            </w:tcBorders>
            <w:vAlign w:val="center"/>
          </w:tcPr>
          <w:p w14:paraId="1CD6BE79">
            <w:pPr>
              <w:pStyle w:val="29"/>
            </w:pPr>
            <w:r>
              <w:rPr>
                <w:rFonts w:hint="eastAsia"/>
              </w:rPr>
              <w:t>比选有效期</w:t>
            </w:r>
          </w:p>
        </w:tc>
        <w:tc>
          <w:tcPr>
            <w:tcW w:w="6129" w:type="dxa"/>
            <w:tcBorders>
              <w:top w:val="single" w:color="auto" w:sz="4" w:space="0"/>
              <w:left w:val="single" w:color="auto" w:sz="4" w:space="0"/>
              <w:bottom w:val="single" w:color="auto" w:sz="4" w:space="0"/>
              <w:right w:val="single" w:color="auto" w:sz="4" w:space="0"/>
            </w:tcBorders>
            <w:vAlign w:val="center"/>
          </w:tcPr>
          <w:p w14:paraId="55DF94E0">
            <w:pPr>
              <w:pStyle w:val="30"/>
            </w:pPr>
            <w:r>
              <w:rPr>
                <w:rFonts w:hint="eastAsia"/>
              </w:rPr>
              <w:t>自比选申请人提交比选申请文件截止之日期起计算90日</w:t>
            </w:r>
          </w:p>
        </w:tc>
      </w:tr>
      <w:tr w14:paraId="24BA7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2929EED">
            <w:pPr>
              <w:pStyle w:val="29"/>
            </w:pPr>
            <w:r>
              <w:rPr>
                <w:rFonts w:hint="eastAsia"/>
              </w:rPr>
              <w:t>3.3.2</w:t>
            </w:r>
          </w:p>
        </w:tc>
        <w:tc>
          <w:tcPr>
            <w:tcW w:w="1902" w:type="dxa"/>
            <w:tcBorders>
              <w:top w:val="single" w:color="auto" w:sz="4" w:space="0"/>
              <w:left w:val="single" w:color="auto" w:sz="4" w:space="0"/>
              <w:bottom w:val="single" w:color="auto" w:sz="4" w:space="0"/>
              <w:right w:val="single" w:color="auto" w:sz="4" w:space="0"/>
            </w:tcBorders>
            <w:vAlign w:val="center"/>
          </w:tcPr>
          <w:p w14:paraId="37C8885D">
            <w:pPr>
              <w:pStyle w:val="29"/>
            </w:pPr>
            <w:r>
              <w:rPr>
                <w:rFonts w:hint="eastAsia"/>
              </w:rPr>
              <w:t>撤标应承担的责任</w:t>
            </w:r>
          </w:p>
        </w:tc>
        <w:tc>
          <w:tcPr>
            <w:tcW w:w="6129" w:type="dxa"/>
            <w:tcBorders>
              <w:top w:val="single" w:color="auto" w:sz="4" w:space="0"/>
              <w:left w:val="single" w:color="auto" w:sz="4" w:space="0"/>
              <w:bottom w:val="single" w:color="auto" w:sz="4" w:space="0"/>
              <w:right w:val="single" w:color="auto" w:sz="4" w:space="0"/>
            </w:tcBorders>
            <w:vAlign w:val="center"/>
          </w:tcPr>
          <w:p w14:paraId="1FC3A24B">
            <w:pPr>
              <w:pStyle w:val="30"/>
            </w:pPr>
            <w:r>
              <w:rPr>
                <w:rFonts w:hint="eastAsia"/>
              </w:rPr>
              <w:t>在比选有效期内，比选申请人撤销比选申请文件的，应承担比选文件和法律规定的责任。</w:t>
            </w:r>
          </w:p>
        </w:tc>
      </w:tr>
      <w:tr w14:paraId="7B9E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5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E1AD1D7">
            <w:pPr>
              <w:pStyle w:val="29"/>
            </w:pPr>
            <w:r>
              <w:rPr>
                <w:rFonts w:hint="eastAsia"/>
              </w:rPr>
              <w:t>3.4.1</w:t>
            </w:r>
          </w:p>
        </w:tc>
        <w:tc>
          <w:tcPr>
            <w:tcW w:w="1902" w:type="dxa"/>
            <w:tcBorders>
              <w:top w:val="single" w:color="auto" w:sz="4" w:space="0"/>
              <w:left w:val="single" w:color="auto" w:sz="4" w:space="0"/>
              <w:bottom w:val="single" w:color="auto" w:sz="4" w:space="0"/>
              <w:right w:val="single" w:color="auto" w:sz="4" w:space="0"/>
            </w:tcBorders>
            <w:vAlign w:val="center"/>
          </w:tcPr>
          <w:p w14:paraId="351234DF">
            <w:pPr>
              <w:pStyle w:val="29"/>
            </w:pPr>
            <w:r>
              <w:rPr>
                <w:rFonts w:hint="eastAsia"/>
              </w:rPr>
              <w:t>比选保证金</w:t>
            </w:r>
          </w:p>
        </w:tc>
        <w:tc>
          <w:tcPr>
            <w:tcW w:w="6129" w:type="dxa"/>
            <w:tcBorders>
              <w:top w:val="single" w:color="auto" w:sz="4" w:space="0"/>
              <w:left w:val="single" w:color="auto" w:sz="4" w:space="0"/>
              <w:bottom w:val="single" w:color="auto" w:sz="4" w:space="0"/>
              <w:right w:val="single" w:color="auto" w:sz="4" w:space="0"/>
            </w:tcBorders>
            <w:vAlign w:val="center"/>
          </w:tcPr>
          <w:p w14:paraId="28789DAA">
            <w:pPr>
              <w:pStyle w:val="30"/>
            </w:pPr>
            <w:r>
              <w:rPr>
                <w:rFonts w:hint="eastAsia"/>
              </w:rPr>
              <w:t>☑不要求</w:t>
            </w:r>
          </w:p>
          <w:p w14:paraId="10E644A4">
            <w:pPr>
              <w:pStyle w:val="30"/>
            </w:pPr>
            <w:r>
              <w:rPr>
                <w:rFonts w:hint="eastAsia"/>
              </w:rPr>
              <w:t>□（1）本项目需要缴纳比选保证金。本项目比选保证金为现金：人民币    元整（¥      元）</w:t>
            </w:r>
          </w:p>
          <w:p w14:paraId="3DA3EB61">
            <w:pPr>
              <w:pStyle w:val="30"/>
            </w:pPr>
            <w:r>
              <w:rPr>
                <w:rFonts w:hint="eastAsia"/>
              </w:rPr>
              <w:t>比选申请人应于本项目比选截止日前将比选保证金以单位名义从其基本账户转账至以下账户：</w:t>
            </w:r>
          </w:p>
          <w:p w14:paraId="014A3A9C">
            <w:pPr>
              <w:pStyle w:val="30"/>
            </w:pPr>
            <w:r>
              <w:rPr>
                <w:rFonts w:hint="eastAsia"/>
              </w:rPr>
              <w:t>开户名称：</w:t>
            </w:r>
          </w:p>
          <w:p w14:paraId="0273F27E">
            <w:pPr>
              <w:pStyle w:val="30"/>
            </w:pPr>
            <w:r>
              <w:rPr>
                <w:rFonts w:hint="eastAsia"/>
              </w:rPr>
              <w:t>开户银行：</w:t>
            </w:r>
          </w:p>
          <w:p w14:paraId="1D4132E7">
            <w:pPr>
              <w:pStyle w:val="30"/>
            </w:pPr>
            <w:r>
              <w:rPr>
                <w:rFonts w:hint="eastAsia"/>
              </w:rPr>
              <w:t>账号:</w:t>
            </w:r>
          </w:p>
          <w:p w14:paraId="4D9F2A13">
            <w:pPr>
              <w:pStyle w:val="30"/>
            </w:pPr>
            <w:r>
              <w:rPr>
                <w:rFonts w:hint="eastAsia"/>
              </w:rPr>
              <w:t>比选申请人需备注： （项目名称，可简写）</w:t>
            </w:r>
          </w:p>
        </w:tc>
      </w:tr>
      <w:tr w14:paraId="6F8F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797E461E">
            <w:pPr>
              <w:pStyle w:val="29"/>
            </w:pPr>
            <w:r>
              <w:rPr>
                <w:rFonts w:hint="eastAsia"/>
              </w:rPr>
              <w:t>3.4.2</w:t>
            </w:r>
          </w:p>
        </w:tc>
        <w:tc>
          <w:tcPr>
            <w:tcW w:w="1902" w:type="dxa"/>
            <w:tcBorders>
              <w:top w:val="single" w:color="auto" w:sz="4" w:space="0"/>
              <w:left w:val="single" w:color="auto" w:sz="4" w:space="0"/>
              <w:bottom w:val="single" w:color="auto" w:sz="4" w:space="0"/>
              <w:right w:val="single" w:color="auto" w:sz="4" w:space="0"/>
            </w:tcBorders>
            <w:vAlign w:val="center"/>
          </w:tcPr>
          <w:p w14:paraId="52D013A6">
            <w:pPr>
              <w:pStyle w:val="29"/>
            </w:pPr>
            <w:r>
              <w:rPr>
                <w:rFonts w:hint="eastAsia"/>
              </w:rPr>
              <w:t>比选保证金的利息计算原则</w:t>
            </w:r>
          </w:p>
        </w:tc>
        <w:tc>
          <w:tcPr>
            <w:tcW w:w="6129" w:type="dxa"/>
            <w:tcBorders>
              <w:top w:val="single" w:color="auto" w:sz="4" w:space="0"/>
              <w:left w:val="single" w:color="auto" w:sz="4" w:space="0"/>
              <w:bottom w:val="single" w:color="auto" w:sz="4" w:space="0"/>
              <w:right w:val="single" w:color="auto" w:sz="4" w:space="0"/>
            </w:tcBorders>
            <w:vAlign w:val="center"/>
          </w:tcPr>
          <w:p w14:paraId="059E42F6">
            <w:pPr>
              <w:pStyle w:val="30"/>
            </w:pPr>
            <w:r>
              <w:rPr>
                <w:rFonts w:hint="eastAsia"/>
              </w:rPr>
              <w:t>比选</w:t>
            </w:r>
            <w:r>
              <w:t>保证金不计息。</w:t>
            </w:r>
          </w:p>
        </w:tc>
      </w:tr>
      <w:tr w14:paraId="0DB7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left w:val="single" w:color="auto" w:sz="4" w:space="0"/>
              <w:bottom w:val="single" w:color="auto" w:sz="4" w:space="0"/>
              <w:right w:val="single" w:color="auto" w:sz="4" w:space="0"/>
            </w:tcBorders>
            <w:vAlign w:val="center"/>
          </w:tcPr>
          <w:p w14:paraId="5DA0FEDB">
            <w:pPr>
              <w:pStyle w:val="29"/>
            </w:pPr>
            <w:r>
              <w:rPr>
                <w:rFonts w:hint="eastAsia"/>
              </w:rPr>
              <w:t>3.4.3</w:t>
            </w:r>
          </w:p>
        </w:tc>
        <w:tc>
          <w:tcPr>
            <w:tcW w:w="1902" w:type="dxa"/>
            <w:tcBorders>
              <w:top w:val="single" w:color="auto" w:sz="4" w:space="0"/>
              <w:left w:val="single" w:color="auto" w:sz="4" w:space="0"/>
              <w:bottom w:val="single" w:color="auto" w:sz="4" w:space="0"/>
              <w:right w:val="single" w:color="auto" w:sz="4" w:space="0"/>
            </w:tcBorders>
            <w:vAlign w:val="center"/>
          </w:tcPr>
          <w:p w14:paraId="270A3C09">
            <w:pPr>
              <w:pStyle w:val="29"/>
            </w:pPr>
            <w:r>
              <w:rPr>
                <w:rFonts w:hint="eastAsia"/>
              </w:rPr>
              <w:t>比选保证金的退还方式</w:t>
            </w:r>
          </w:p>
        </w:tc>
        <w:tc>
          <w:tcPr>
            <w:tcW w:w="6129" w:type="dxa"/>
            <w:tcBorders>
              <w:top w:val="single" w:color="auto" w:sz="4" w:space="0"/>
              <w:left w:val="single" w:color="auto" w:sz="4" w:space="0"/>
              <w:bottom w:val="single" w:color="auto" w:sz="4" w:space="0"/>
              <w:right w:val="single" w:color="auto" w:sz="4" w:space="0"/>
            </w:tcBorders>
            <w:vAlign w:val="center"/>
          </w:tcPr>
          <w:p w14:paraId="04C50A02">
            <w:pPr>
              <w:pStyle w:val="30"/>
            </w:pPr>
            <w:r>
              <w:rPr>
                <w:rFonts w:hint="eastAsia"/>
              </w:rPr>
              <w:t>比选</w:t>
            </w:r>
            <w:r>
              <w:t>人最迟将在</w:t>
            </w:r>
            <w:r>
              <w:rPr>
                <w:rFonts w:hint="eastAsia"/>
              </w:rPr>
              <w:t>中选</w:t>
            </w:r>
            <w:r>
              <w:t>通知书发出后5</w:t>
            </w:r>
            <w:r>
              <w:rPr>
                <w:rFonts w:hint="eastAsia"/>
              </w:rPr>
              <w:t>个工作</w:t>
            </w:r>
            <w:r>
              <w:t>日内向</w:t>
            </w:r>
            <w:r>
              <w:rPr>
                <w:rFonts w:hint="eastAsia"/>
              </w:rPr>
              <w:t>中选</w:t>
            </w:r>
            <w:r>
              <w:t>候选人以外的其他</w:t>
            </w:r>
            <w:r>
              <w:rPr>
                <w:rFonts w:hint="eastAsia"/>
              </w:rPr>
              <w:t>比选申请人</w:t>
            </w:r>
            <w:r>
              <w:t>退还</w:t>
            </w:r>
            <w:r>
              <w:rPr>
                <w:rFonts w:hint="eastAsia"/>
              </w:rPr>
              <w:t>比选</w:t>
            </w:r>
            <w:r>
              <w:t>保证金，与</w:t>
            </w:r>
            <w:r>
              <w:rPr>
                <w:rFonts w:hint="eastAsia"/>
              </w:rPr>
              <w:t>中选</w:t>
            </w:r>
            <w:r>
              <w:t>人签订合同后5</w:t>
            </w:r>
            <w:r>
              <w:rPr>
                <w:rFonts w:hint="eastAsia"/>
              </w:rPr>
              <w:t>个工作</w:t>
            </w:r>
            <w:r>
              <w:t>日内向</w:t>
            </w:r>
            <w:r>
              <w:rPr>
                <w:rFonts w:hint="eastAsia"/>
              </w:rPr>
              <w:t>中选</w:t>
            </w:r>
            <w:r>
              <w:t>人和其他</w:t>
            </w:r>
            <w:r>
              <w:rPr>
                <w:rFonts w:hint="eastAsia"/>
              </w:rPr>
              <w:t>中选</w:t>
            </w:r>
            <w:r>
              <w:t>候选人退还</w:t>
            </w:r>
            <w:r>
              <w:rPr>
                <w:rFonts w:hint="eastAsia"/>
              </w:rPr>
              <w:t>比选</w:t>
            </w:r>
            <w:r>
              <w:t>保证金</w:t>
            </w:r>
            <w:r>
              <w:rPr>
                <w:rFonts w:hint="eastAsia"/>
              </w:rPr>
              <w:t>。</w:t>
            </w:r>
          </w:p>
          <w:p w14:paraId="73AA568D">
            <w:pPr>
              <w:pStyle w:val="30"/>
            </w:pPr>
            <w:r>
              <w:t>退还方式：按照</w:t>
            </w:r>
            <w:r>
              <w:rPr>
                <w:rFonts w:hint="eastAsia"/>
              </w:rPr>
              <w:t>比选申请人</w:t>
            </w:r>
            <w:r>
              <w:t>缴纳的账户原账户退还。</w:t>
            </w:r>
          </w:p>
        </w:tc>
      </w:tr>
      <w:tr w14:paraId="20D9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4B8036A">
            <w:pPr>
              <w:pStyle w:val="29"/>
            </w:pPr>
            <w:r>
              <w:rPr>
                <w:rFonts w:hint="eastAsia"/>
              </w:rPr>
              <w:t>3.4.4</w:t>
            </w:r>
          </w:p>
        </w:tc>
        <w:tc>
          <w:tcPr>
            <w:tcW w:w="1902" w:type="dxa"/>
            <w:tcBorders>
              <w:top w:val="single" w:color="auto" w:sz="4" w:space="0"/>
              <w:left w:val="single" w:color="auto" w:sz="4" w:space="0"/>
              <w:bottom w:val="single" w:color="auto" w:sz="4" w:space="0"/>
              <w:right w:val="single" w:color="auto" w:sz="4" w:space="0"/>
            </w:tcBorders>
            <w:vAlign w:val="center"/>
          </w:tcPr>
          <w:p w14:paraId="6A9625CE">
            <w:pPr>
              <w:pStyle w:val="29"/>
            </w:pPr>
            <w:r>
              <w:rPr>
                <w:rFonts w:hint="eastAsia"/>
              </w:rPr>
              <w:t>其他可以不予退还比选保证金的情形</w:t>
            </w:r>
          </w:p>
        </w:tc>
        <w:tc>
          <w:tcPr>
            <w:tcW w:w="6129" w:type="dxa"/>
            <w:tcBorders>
              <w:top w:val="single" w:color="auto" w:sz="4" w:space="0"/>
              <w:left w:val="single" w:color="auto" w:sz="4" w:space="0"/>
              <w:bottom w:val="single" w:color="auto" w:sz="4" w:space="0"/>
              <w:right w:val="single" w:color="auto" w:sz="4" w:space="0"/>
            </w:tcBorders>
            <w:vAlign w:val="center"/>
          </w:tcPr>
          <w:p w14:paraId="0491F9C3">
            <w:pPr>
              <w:pStyle w:val="30"/>
            </w:pPr>
            <w:r>
              <w:rPr>
                <w:rFonts w:hint="eastAsia"/>
              </w:rPr>
              <w:t>比选申请人有下列情形之一的，其比选保证金将不予退还：</w:t>
            </w:r>
          </w:p>
          <w:p w14:paraId="095F9174">
            <w:pPr>
              <w:pStyle w:val="30"/>
            </w:pPr>
            <w:r>
              <w:rPr>
                <w:rFonts w:hint="eastAsia"/>
              </w:rPr>
              <w:t>（1）比选申请人存在弄虚作假且对其初步评审、详细评审结果产生影响的行为；</w:t>
            </w:r>
          </w:p>
          <w:p w14:paraId="43A959F9">
            <w:pPr>
              <w:pStyle w:val="30"/>
            </w:pPr>
            <w:r>
              <w:rPr>
                <w:rFonts w:hint="eastAsia"/>
              </w:rPr>
              <w:t>（2）比选申请人有串通比选行为；</w:t>
            </w:r>
          </w:p>
          <w:p w14:paraId="74F5A026">
            <w:pPr>
              <w:pStyle w:val="30"/>
            </w:pPr>
            <w:r>
              <w:rPr>
                <w:rFonts w:hint="eastAsia"/>
              </w:rPr>
              <w:t>（3）比选申请人有行贿行为；</w:t>
            </w:r>
          </w:p>
          <w:p w14:paraId="3CCBCF16">
            <w:pPr>
              <w:pStyle w:val="30"/>
            </w:pPr>
            <w:r>
              <w:rPr>
                <w:rFonts w:hint="eastAsia"/>
              </w:rPr>
              <w:t>（4）比选申请人有其他行为；</w:t>
            </w:r>
          </w:p>
          <w:p w14:paraId="5EDEA058">
            <w:pPr>
              <w:pStyle w:val="30"/>
              <w:rPr>
                <w:lang w:val="zh-CN"/>
              </w:rPr>
            </w:pPr>
            <w:r>
              <w:rPr>
                <w:rFonts w:hint="eastAsia"/>
              </w:rPr>
              <w:t>注：串通比选、弄虚作假具体情形见第三章“评选办法”。</w:t>
            </w:r>
          </w:p>
        </w:tc>
      </w:tr>
      <w:tr w14:paraId="6589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7D5E08C">
            <w:pPr>
              <w:pStyle w:val="29"/>
            </w:pPr>
            <w:r>
              <w:rPr>
                <w:rFonts w:hint="eastAsia"/>
              </w:rPr>
              <w:t>3.5</w:t>
            </w:r>
          </w:p>
        </w:tc>
        <w:tc>
          <w:tcPr>
            <w:tcW w:w="1902" w:type="dxa"/>
            <w:tcBorders>
              <w:top w:val="single" w:color="auto" w:sz="4" w:space="0"/>
              <w:left w:val="single" w:color="auto" w:sz="4" w:space="0"/>
              <w:bottom w:val="single" w:color="auto" w:sz="4" w:space="0"/>
              <w:right w:val="single" w:color="auto" w:sz="4" w:space="0"/>
            </w:tcBorders>
            <w:vAlign w:val="center"/>
          </w:tcPr>
          <w:p w14:paraId="79AAE4FE">
            <w:pPr>
              <w:pStyle w:val="29"/>
            </w:pPr>
            <w:r>
              <w:rPr>
                <w:rFonts w:hint="eastAsia"/>
              </w:rPr>
              <w:t>资格审查资料的特殊要求</w:t>
            </w:r>
          </w:p>
        </w:tc>
        <w:tc>
          <w:tcPr>
            <w:tcW w:w="6129" w:type="dxa"/>
            <w:tcBorders>
              <w:top w:val="single" w:color="auto" w:sz="4" w:space="0"/>
              <w:left w:val="single" w:color="auto" w:sz="4" w:space="0"/>
              <w:bottom w:val="single" w:color="auto" w:sz="4" w:space="0"/>
              <w:right w:val="single" w:color="auto" w:sz="4" w:space="0"/>
            </w:tcBorders>
            <w:vAlign w:val="center"/>
          </w:tcPr>
          <w:p w14:paraId="5366CEB1">
            <w:pPr>
              <w:pStyle w:val="30"/>
            </w:pPr>
            <w:r>
              <w:rPr>
                <w:rFonts w:hint="eastAsia"/>
              </w:rPr>
              <w:t>□ 无</w:t>
            </w:r>
          </w:p>
          <w:p w14:paraId="66BDB5E4">
            <w:pPr>
              <w:pStyle w:val="30"/>
            </w:pPr>
            <w:r>
              <w:rPr>
                <w:rFonts w:hint="eastAsia"/>
              </w:rPr>
              <w:t>☑ 有，具体要求：比选申请人提供的资格审查资料必须满足本章第1.4.1款资格审查最低条件要求，并附相关证明材料，证明材料以第六章比选申请文件格式中要求为准。</w:t>
            </w:r>
          </w:p>
        </w:tc>
      </w:tr>
      <w:tr w14:paraId="706B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7E625CB">
            <w:pPr>
              <w:pStyle w:val="29"/>
            </w:pPr>
            <w:r>
              <w:rPr>
                <w:rFonts w:hint="eastAsia"/>
              </w:rPr>
              <w:t>3.5.1</w:t>
            </w:r>
          </w:p>
        </w:tc>
        <w:tc>
          <w:tcPr>
            <w:tcW w:w="1902" w:type="dxa"/>
            <w:tcBorders>
              <w:top w:val="single" w:color="auto" w:sz="4" w:space="0"/>
              <w:left w:val="single" w:color="auto" w:sz="4" w:space="0"/>
              <w:bottom w:val="single" w:color="auto" w:sz="4" w:space="0"/>
              <w:right w:val="single" w:color="auto" w:sz="4" w:space="0"/>
            </w:tcBorders>
            <w:vAlign w:val="center"/>
          </w:tcPr>
          <w:p w14:paraId="1C94F1B5">
            <w:pPr>
              <w:pStyle w:val="29"/>
            </w:pPr>
            <w:r>
              <w:rPr>
                <w:rFonts w:hint="eastAsia"/>
              </w:rPr>
              <w:t>比选申请人基本</w:t>
            </w:r>
          </w:p>
          <w:p w14:paraId="73A01800">
            <w:pPr>
              <w:pStyle w:val="29"/>
            </w:pPr>
            <w:r>
              <w:rPr>
                <w:rFonts w:hint="eastAsia"/>
              </w:rPr>
              <w:t>情况表</w:t>
            </w:r>
          </w:p>
        </w:tc>
        <w:tc>
          <w:tcPr>
            <w:tcW w:w="6129" w:type="dxa"/>
            <w:tcBorders>
              <w:top w:val="single" w:color="auto" w:sz="4" w:space="0"/>
              <w:left w:val="single" w:color="auto" w:sz="4" w:space="0"/>
              <w:bottom w:val="single" w:color="auto" w:sz="4" w:space="0"/>
              <w:right w:val="single" w:color="auto" w:sz="4" w:space="0"/>
            </w:tcBorders>
            <w:vAlign w:val="center"/>
          </w:tcPr>
          <w:p w14:paraId="35B475BD">
            <w:pPr>
              <w:pStyle w:val="30"/>
            </w:pPr>
            <w:r>
              <w:rPr>
                <w:rFonts w:hint="eastAsia"/>
              </w:rPr>
              <w:t>“比选申请人基本情况表”应附证明材料的，具体要求以第六章比选申请文件格式中要求为准。</w:t>
            </w:r>
          </w:p>
        </w:tc>
      </w:tr>
      <w:tr w14:paraId="0466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99FD249">
            <w:pPr>
              <w:pStyle w:val="29"/>
            </w:pPr>
            <w:r>
              <w:rPr>
                <w:rFonts w:hint="eastAsia"/>
              </w:rPr>
              <w:t>3.5.</w:t>
            </w:r>
            <w:r>
              <w:t>3</w:t>
            </w:r>
          </w:p>
        </w:tc>
        <w:tc>
          <w:tcPr>
            <w:tcW w:w="1902" w:type="dxa"/>
            <w:tcBorders>
              <w:top w:val="single" w:color="auto" w:sz="4" w:space="0"/>
              <w:left w:val="single" w:color="auto" w:sz="4" w:space="0"/>
              <w:bottom w:val="single" w:color="auto" w:sz="4" w:space="0"/>
              <w:right w:val="single" w:color="auto" w:sz="4" w:space="0"/>
            </w:tcBorders>
            <w:vAlign w:val="center"/>
          </w:tcPr>
          <w:p w14:paraId="2D7E1DBA">
            <w:pPr>
              <w:pStyle w:val="29"/>
            </w:pPr>
            <w:r>
              <w:rPr>
                <w:rFonts w:hint="eastAsia"/>
              </w:rPr>
              <w:t>近年完成的类似项目情况的时间要求</w:t>
            </w:r>
          </w:p>
        </w:tc>
        <w:tc>
          <w:tcPr>
            <w:tcW w:w="6129" w:type="dxa"/>
            <w:tcBorders>
              <w:top w:val="single" w:color="auto" w:sz="4" w:space="0"/>
              <w:left w:val="single" w:color="auto" w:sz="4" w:space="0"/>
              <w:bottom w:val="single" w:color="auto" w:sz="4" w:space="0"/>
              <w:right w:val="single" w:color="auto" w:sz="4" w:space="0"/>
            </w:tcBorders>
            <w:vAlign w:val="center"/>
          </w:tcPr>
          <w:p w14:paraId="260B1FD5">
            <w:pPr>
              <w:pStyle w:val="30"/>
            </w:pPr>
            <w:r>
              <w:rPr>
                <w:rFonts w:hint="eastAsia"/>
              </w:rPr>
              <w:t>时间要求：2019年9月 1 日起至本项目比选截止日</w:t>
            </w:r>
          </w:p>
          <w:p w14:paraId="5E0483F4">
            <w:pPr>
              <w:pStyle w:val="30"/>
            </w:pPr>
            <w:r>
              <w:rPr>
                <w:rFonts w:hint="eastAsia"/>
              </w:rPr>
              <w:t>比选申请人提供的资格审查资料必须满足本须知附录</w:t>
            </w:r>
            <w:r>
              <w:t>2</w:t>
            </w:r>
            <w:r>
              <w:rPr>
                <w:rFonts w:hint="eastAsia"/>
              </w:rPr>
              <w:t>资格审查业绩最低条件要求，并附相关证明材料，证明材料的具体要求以“第六章比选申请文件格式”中要求为准。</w:t>
            </w:r>
          </w:p>
        </w:tc>
      </w:tr>
      <w:tr w14:paraId="7148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F2E0679">
            <w:pPr>
              <w:pStyle w:val="29"/>
            </w:pPr>
            <w:r>
              <w:rPr>
                <w:rFonts w:hint="eastAsia"/>
              </w:rPr>
              <w:t>3.5.4</w:t>
            </w:r>
          </w:p>
        </w:tc>
        <w:tc>
          <w:tcPr>
            <w:tcW w:w="1902" w:type="dxa"/>
            <w:tcBorders>
              <w:top w:val="single" w:color="auto" w:sz="4" w:space="0"/>
              <w:left w:val="single" w:color="auto" w:sz="4" w:space="0"/>
              <w:bottom w:val="single" w:color="auto" w:sz="4" w:space="0"/>
              <w:right w:val="single" w:color="auto" w:sz="4" w:space="0"/>
            </w:tcBorders>
            <w:vAlign w:val="center"/>
          </w:tcPr>
          <w:p w14:paraId="1F1F9EEC">
            <w:pPr>
              <w:pStyle w:val="29"/>
            </w:pPr>
            <w:r>
              <w:rPr>
                <w:rFonts w:hint="eastAsia"/>
              </w:rPr>
              <w:t>比选申请人的信誉</w:t>
            </w:r>
          </w:p>
          <w:p w14:paraId="59F589FD">
            <w:pPr>
              <w:pStyle w:val="29"/>
            </w:pPr>
            <w:r>
              <w:rPr>
                <w:rFonts w:hint="eastAsia"/>
              </w:rPr>
              <w:t>情况表</w:t>
            </w:r>
          </w:p>
        </w:tc>
        <w:tc>
          <w:tcPr>
            <w:tcW w:w="6129" w:type="dxa"/>
            <w:tcBorders>
              <w:top w:val="single" w:color="auto" w:sz="4" w:space="0"/>
              <w:left w:val="single" w:color="auto" w:sz="4" w:space="0"/>
              <w:bottom w:val="single" w:color="auto" w:sz="4" w:space="0"/>
              <w:right w:val="single" w:color="auto" w:sz="4" w:space="0"/>
            </w:tcBorders>
            <w:vAlign w:val="center"/>
          </w:tcPr>
          <w:p w14:paraId="4892C5CA">
            <w:pPr>
              <w:pStyle w:val="30"/>
            </w:pPr>
            <w:r>
              <w:rPr>
                <w:rFonts w:hint="eastAsia"/>
              </w:rPr>
              <w:t>比选申请人提供的资格审查资料必须满足本须知附录4资格审查信誉最低条件要求，并附相关证明材料，证明材料的具体要求以“第六章比选申请文件格式”中要求为准。</w:t>
            </w:r>
          </w:p>
        </w:tc>
      </w:tr>
      <w:tr w14:paraId="2D3E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EAEA2D7">
            <w:pPr>
              <w:pStyle w:val="29"/>
            </w:pPr>
            <w:r>
              <w:rPr>
                <w:rFonts w:hint="eastAsia"/>
              </w:rPr>
              <w:t>3.5.</w:t>
            </w:r>
            <w:r>
              <w:t>5</w:t>
            </w:r>
          </w:p>
        </w:tc>
        <w:tc>
          <w:tcPr>
            <w:tcW w:w="1902" w:type="dxa"/>
            <w:tcBorders>
              <w:top w:val="single" w:color="auto" w:sz="4" w:space="0"/>
              <w:left w:val="single" w:color="auto" w:sz="4" w:space="0"/>
              <w:bottom w:val="single" w:color="auto" w:sz="4" w:space="0"/>
              <w:right w:val="single" w:color="auto" w:sz="4" w:space="0"/>
            </w:tcBorders>
            <w:vAlign w:val="center"/>
          </w:tcPr>
          <w:p w14:paraId="3FD6BB75">
            <w:pPr>
              <w:pStyle w:val="29"/>
            </w:pPr>
            <w:r>
              <w:rPr>
                <w:rFonts w:hint="eastAsia"/>
              </w:rPr>
              <w:t>拟委任的主要人员资历表</w:t>
            </w:r>
          </w:p>
        </w:tc>
        <w:tc>
          <w:tcPr>
            <w:tcW w:w="6129" w:type="dxa"/>
            <w:tcBorders>
              <w:top w:val="single" w:color="auto" w:sz="4" w:space="0"/>
              <w:left w:val="single" w:color="auto" w:sz="4" w:space="0"/>
              <w:bottom w:val="single" w:color="auto" w:sz="4" w:space="0"/>
              <w:right w:val="single" w:color="auto" w:sz="4" w:space="0"/>
            </w:tcBorders>
            <w:vAlign w:val="center"/>
          </w:tcPr>
          <w:p w14:paraId="39ECF965">
            <w:pPr>
              <w:pStyle w:val="30"/>
            </w:pPr>
            <w:r>
              <w:rPr>
                <w:rFonts w:hint="eastAsia"/>
              </w:rPr>
              <w:t>比选申请人提供的资格审查资料必须满足本须知附录3资格审查主要人员最低条件要求，并附相关证明材料，证明材料的具体要求以“第五章比选申请文件格式”中要求为准。</w:t>
            </w:r>
          </w:p>
        </w:tc>
      </w:tr>
      <w:tr w14:paraId="7E6D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E1B6611">
            <w:pPr>
              <w:pStyle w:val="29"/>
            </w:pPr>
            <w:r>
              <w:rPr>
                <w:rFonts w:hint="eastAsia"/>
              </w:rPr>
              <w:t>3.5.9</w:t>
            </w:r>
          </w:p>
        </w:tc>
        <w:tc>
          <w:tcPr>
            <w:tcW w:w="1902" w:type="dxa"/>
            <w:tcBorders>
              <w:top w:val="single" w:color="auto" w:sz="4" w:space="0"/>
              <w:left w:val="single" w:color="auto" w:sz="4" w:space="0"/>
              <w:bottom w:val="single" w:color="auto" w:sz="4" w:space="0"/>
              <w:right w:val="single" w:color="auto" w:sz="4" w:space="0"/>
            </w:tcBorders>
            <w:vAlign w:val="center"/>
          </w:tcPr>
          <w:p w14:paraId="02A16DD6">
            <w:pPr>
              <w:pStyle w:val="29"/>
            </w:pPr>
            <w:r>
              <w:rPr>
                <w:rFonts w:hint="eastAsia"/>
              </w:rPr>
              <w:t>比选申请文件的真实性要求</w:t>
            </w:r>
          </w:p>
        </w:tc>
        <w:tc>
          <w:tcPr>
            <w:tcW w:w="6129" w:type="dxa"/>
            <w:tcBorders>
              <w:top w:val="single" w:color="auto" w:sz="4" w:space="0"/>
              <w:left w:val="single" w:color="auto" w:sz="4" w:space="0"/>
              <w:bottom w:val="single" w:color="auto" w:sz="4" w:space="0"/>
              <w:right w:val="single" w:color="auto" w:sz="4" w:space="0"/>
            </w:tcBorders>
            <w:vAlign w:val="center"/>
          </w:tcPr>
          <w:p w14:paraId="718562F6">
            <w:pPr>
              <w:pStyle w:val="30"/>
            </w:pPr>
            <w:r>
              <w:rPr>
                <w:rFonts w:hint="eastAsia"/>
              </w:rPr>
              <w:t>本项最后补充：比选申请人所递交的比选申请文件（包括有关资料、澄清）应真实可信，不存在虚假。比选申请人声明不存在限制比选情形，但被发现存在限制比选情形的，视为虚假比选行为。如比选申请文件存在虚假，在评选阶段发现的，评选委员会应否决比选；中选候选人确定后发现的，比选人可以取消中选候选人或中选资格，不予退还比选保证金，还将上报相关主管部门。</w:t>
            </w:r>
          </w:p>
        </w:tc>
      </w:tr>
      <w:tr w14:paraId="02C2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7D3C0F3">
            <w:pPr>
              <w:pStyle w:val="29"/>
            </w:pPr>
            <w:r>
              <w:rPr>
                <w:rFonts w:hint="eastAsia"/>
              </w:rPr>
              <w:t>3.6.1</w:t>
            </w:r>
          </w:p>
        </w:tc>
        <w:tc>
          <w:tcPr>
            <w:tcW w:w="1902" w:type="dxa"/>
            <w:tcBorders>
              <w:top w:val="single" w:color="auto" w:sz="4" w:space="0"/>
              <w:left w:val="single" w:color="auto" w:sz="4" w:space="0"/>
              <w:bottom w:val="single" w:color="auto" w:sz="4" w:space="0"/>
              <w:right w:val="single" w:color="auto" w:sz="4" w:space="0"/>
            </w:tcBorders>
            <w:vAlign w:val="center"/>
          </w:tcPr>
          <w:p w14:paraId="1E0CE2AC">
            <w:pPr>
              <w:pStyle w:val="29"/>
            </w:pPr>
            <w:r>
              <w:rPr>
                <w:rFonts w:hint="eastAsia"/>
              </w:rPr>
              <w:t>是否允许递交</w:t>
            </w:r>
          </w:p>
          <w:p w14:paraId="3B7B6CE5">
            <w:pPr>
              <w:pStyle w:val="29"/>
            </w:pPr>
            <w:r>
              <w:rPr>
                <w:rFonts w:hint="eastAsia"/>
              </w:rPr>
              <w:t>备选比选方案</w:t>
            </w:r>
          </w:p>
        </w:tc>
        <w:tc>
          <w:tcPr>
            <w:tcW w:w="6129" w:type="dxa"/>
            <w:tcBorders>
              <w:top w:val="single" w:color="auto" w:sz="4" w:space="0"/>
              <w:left w:val="single" w:color="auto" w:sz="4" w:space="0"/>
              <w:bottom w:val="single" w:color="auto" w:sz="4" w:space="0"/>
              <w:right w:val="single" w:color="auto" w:sz="4" w:space="0"/>
            </w:tcBorders>
            <w:vAlign w:val="center"/>
          </w:tcPr>
          <w:p w14:paraId="464F3FE2">
            <w:pPr>
              <w:pStyle w:val="30"/>
            </w:pPr>
            <w:r>
              <w:rPr>
                <w:rFonts w:hint="eastAsia"/>
              </w:rPr>
              <w:t>□允许</w:t>
            </w:r>
          </w:p>
          <w:p w14:paraId="14C4073C">
            <w:pPr>
              <w:pStyle w:val="30"/>
            </w:pPr>
            <w:r>
              <w:rPr>
                <w:rFonts w:hint="eastAsia"/>
              </w:rPr>
              <w:t>☑不允许</w:t>
            </w:r>
          </w:p>
        </w:tc>
      </w:tr>
      <w:tr w14:paraId="4F4A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C6596EC">
            <w:pPr>
              <w:pStyle w:val="29"/>
            </w:pPr>
            <w:r>
              <w:rPr>
                <w:rFonts w:hint="eastAsia"/>
              </w:rPr>
              <w:t>3</w:t>
            </w:r>
            <w:r>
              <w:t>.7.</w:t>
            </w:r>
            <w:r>
              <w:rPr>
                <w:rFonts w:hint="eastAsia"/>
              </w:rPr>
              <w:t>1</w:t>
            </w:r>
          </w:p>
        </w:tc>
        <w:tc>
          <w:tcPr>
            <w:tcW w:w="1902" w:type="dxa"/>
            <w:tcBorders>
              <w:top w:val="single" w:color="auto" w:sz="4" w:space="0"/>
              <w:left w:val="single" w:color="auto" w:sz="4" w:space="0"/>
              <w:bottom w:val="single" w:color="auto" w:sz="4" w:space="0"/>
              <w:right w:val="single" w:color="auto" w:sz="4" w:space="0"/>
            </w:tcBorders>
            <w:vAlign w:val="center"/>
          </w:tcPr>
          <w:p w14:paraId="1370B877">
            <w:pPr>
              <w:pStyle w:val="29"/>
            </w:pPr>
            <w:r>
              <w:rPr>
                <w:rFonts w:hint="eastAsia"/>
              </w:rPr>
              <w:t>比选申请文件</w:t>
            </w:r>
          </w:p>
        </w:tc>
        <w:tc>
          <w:tcPr>
            <w:tcW w:w="6129" w:type="dxa"/>
            <w:tcBorders>
              <w:top w:val="single" w:color="auto" w:sz="4" w:space="0"/>
              <w:left w:val="single" w:color="auto" w:sz="4" w:space="0"/>
              <w:bottom w:val="single" w:color="auto" w:sz="4" w:space="0"/>
              <w:right w:val="single" w:color="auto" w:sz="4" w:space="0"/>
            </w:tcBorders>
            <w:vAlign w:val="center"/>
          </w:tcPr>
          <w:p w14:paraId="5796A90C">
            <w:pPr>
              <w:pStyle w:val="30"/>
            </w:pPr>
            <w:r>
              <w:rPr>
                <w:rFonts w:hint="eastAsia"/>
              </w:rPr>
              <w:t>应按第五章“比选申请文件格式”进行编写，如有必要，可以增加附页，作为比选申请文件的组成部分。</w:t>
            </w:r>
          </w:p>
        </w:tc>
      </w:tr>
      <w:tr w14:paraId="225A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885E7C3">
            <w:pPr>
              <w:pStyle w:val="29"/>
            </w:pPr>
            <w:r>
              <w:rPr>
                <w:rFonts w:hint="eastAsia"/>
              </w:rPr>
              <w:t>3.7.2</w:t>
            </w:r>
          </w:p>
        </w:tc>
        <w:tc>
          <w:tcPr>
            <w:tcW w:w="1902" w:type="dxa"/>
            <w:tcBorders>
              <w:top w:val="single" w:color="auto" w:sz="4" w:space="0"/>
              <w:left w:val="single" w:color="auto" w:sz="4" w:space="0"/>
              <w:bottom w:val="single" w:color="auto" w:sz="4" w:space="0"/>
              <w:right w:val="single" w:color="auto" w:sz="4" w:space="0"/>
            </w:tcBorders>
            <w:vAlign w:val="center"/>
          </w:tcPr>
          <w:p w14:paraId="51AC7E13">
            <w:pPr>
              <w:pStyle w:val="29"/>
            </w:pPr>
            <w:r>
              <w:rPr>
                <w:rFonts w:hint="eastAsia"/>
              </w:rPr>
              <w:t>比选申请文件要求</w:t>
            </w:r>
          </w:p>
        </w:tc>
        <w:tc>
          <w:tcPr>
            <w:tcW w:w="6129" w:type="dxa"/>
            <w:tcBorders>
              <w:top w:val="single" w:color="auto" w:sz="4" w:space="0"/>
              <w:left w:val="single" w:color="auto" w:sz="4" w:space="0"/>
              <w:bottom w:val="single" w:color="auto" w:sz="4" w:space="0"/>
              <w:right w:val="single" w:color="auto" w:sz="4" w:space="0"/>
            </w:tcBorders>
            <w:vAlign w:val="center"/>
          </w:tcPr>
          <w:p w14:paraId="7840CF95">
            <w:pPr>
              <w:pStyle w:val="30"/>
            </w:pPr>
            <w:r>
              <w:rPr>
                <w:rFonts w:hint="eastAsia"/>
              </w:rPr>
              <w:t>比选申请文件应对比选文件有关技术建议书、人员配置等实质性内容作出响应。</w:t>
            </w:r>
          </w:p>
        </w:tc>
      </w:tr>
      <w:tr w14:paraId="6FDA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AE13E1F">
            <w:pPr>
              <w:pStyle w:val="29"/>
            </w:pPr>
            <w:r>
              <w:rPr>
                <w:rFonts w:hint="eastAsia"/>
              </w:rPr>
              <w:t>3</w:t>
            </w:r>
            <w:r>
              <w:t>.7.3</w:t>
            </w:r>
          </w:p>
        </w:tc>
        <w:tc>
          <w:tcPr>
            <w:tcW w:w="1902" w:type="dxa"/>
            <w:tcBorders>
              <w:top w:val="single" w:color="auto" w:sz="4" w:space="0"/>
              <w:left w:val="single" w:color="auto" w:sz="4" w:space="0"/>
              <w:bottom w:val="single" w:color="auto" w:sz="4" w:space="0"/>
              <w:right w:val="single" w:color="auto" w:sz="4" w:space="0"/>
            </w:tcBorders>
            <w:vAlign w:val="center"/>
          </w:tcPr>
          <w:p w14:paraId="0E0F88D6">
            <w:pPr>
              <w:pStyle w:val="29"/>
            </w:pPr>
            <w:r>
              <w:rPr>
                <w:rFonts w:hint="eastAsia"/>
              </w:rPr>
              <w:t>比选申请文件的包装</w:t>
            </w:r>
          </w:p>
        </w:tc>
        <w:tc>
          <w:tcPr>
            <w:tcW w:w="6129" w:type="dxa"/>
            <w:tcBorders>
              <w:top w:val="single" w:color="auto" w:sz="4" w:space="0"/>
              <w:left w:val="single" w:color="auto" w:sz="4" w:space="0"/>
              <w:bottom w:val="single" w:color="auto" w:sz="4" w:space="0"/>
              <w:right w:val="single" w:color="auto" w:sz="4" w:space="0"/>
            </w:tcBorders>
            <w:vAlign w:val="center"/>
          </w:tcPr>
          <w:p w14:paraId="5C9C6D39">
            <w:pPr>
              <w:pStyle w:val="30"/>
            </w:pPr>
            <w:r>
              <w:rPr>
                <w:rFonts w:hint="eastAsia"/>
              </w:rPr>
              <w:t>比选申请文件包装在一个封套内，外层封套应加贴封条或加盖密封章；其中最终（第二次）报价另行单独密封。未密封的比选申请文件比选人将不予接收。</w:t>
            </w:r>
          </w:p>
        </w:tc>
      </w:tr>
      <w:tr w14:paraId="3301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BFACC38">
            <w:pPr>
              <w:pStyle w:val="29"/>
            </w:pPr>
            <w:r>
              <w:rPr>
                <w:rFonts w:hint="eastAsia"/>
              </w:rPr>
              <w:t>3.7.4</w:t>
            </w:r>
          </w:p>
        </w:tc>
        <w:tc>
          <w:tcPr>
            <w:tcW w:w="1902" w:type="dxa"/>
            <w:tcBorders>
              <w:top w:val="single" w:color="auto" w:sz="4" w:space="0"/>
              <w:left w:val="single" w:color="auto" w:sz="4" w:space="0"/>
              <w:bottom w:val="single" w:color="auto" w:sz="4" w:space="0"/>
              <w:right w:val="single" w:color="auto" w:sz="4" w:space="0"/>
            </w:tcBorders>
            <w:vAlign w:val="center"/>
          </w:tcPr>
          <w:p w14:paraId="431FD16D">
            <w:pPr>
              <w:pStyle w:val="29"/>
            </w:pPr>
            <w:r>
              <w:rPr>
                <w:rFonts w:hint="eastAsia"/>
              </w:rPr>
              <w:t>比选申请文件份数及其他要求</w:t>
            </w:r>
          </w:p>
        </w:tc>
        <w:tc>
          <w:tcPr>
            <w:tcW w:w="6129" w:type="dxa"/>
            <w:tcBorders>
              <w:top w:val="single" w:color="auto" w:sz="4" w:space="0"/>
              <w:left w:val="single" w:color="auto" w:sz="4" w:space="0"/>
              <w:bottom w:val="single" w:color="auto" w:sz="4" w:space="0"/>
              <w:right w:val="single" w:color="auto" w:sz="4" w:space="0"/>
            </w:tcBorders>
            <w:vAlign w:val="center"/>
          </w:tcPr>
          <w:p w14:paraId="5FC7C565">
            <w:pPr>
              <w:pStyle w:val="30"/>
            </w:pPr>
            <w:r>
              <w:rPr>
                <w:rFonts w:hint="eastAsia"/>
              </w:rPr>
              <w:t>正</w:t>
            </w:r>
            <w:r>
              <w:t>本一份，副本一份。</w:t>
            </w:r>
          </w:p>
          <w:p w14:paraId="366ECB29">
            <w:pPr>
              <w:pStyle w:val="30"/>
            </w:pPr>
            <w:r>
              <w:rPr>
                <w:rFonts w:hint="eastAsia"/>
              </w:rPr>
              <w:t>比选申请文件</w:t>
            </w:r>
            <w:r>
              <w:t>副本由其正本复制（复印）而成（包括证明文件）。当副本和正本不一致时，以正本为准</w:t>
            </w:r>
          </w:p>
        </w:tc>
      </w:tr>
      <w:tr w14:paraId="40B9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196A4941">
            <w:pPr>
              <w:pStyle w:val="29"/>
            </w:pPr>
            <w:r>
              <w:rPr>
                <w:rFonts w:hint="eastAsia"/>
              </w:rPr>
              <w:t>3.7.5</w:t>
            </w:r>
          </w:p>
        </w:tc>
        <w:tc>
          <w:tcPr>
            <w:tcW w:w="1902" w:type="dxa"/>
            <w:tcBorders>
              <w:top w:val="single" w:color="auto" w:sz="4" w:space="0"/>
              <w:left w:val="single" w:color="auto" w:sz="4" w:space="0"/>
              <w:right w:val="single" w:color="auto" w:sz="4" w:space="0"/>
            </w:tcBorders>
            <w:vAlign w:val="center"/>
          </w:tcPr>
          <w:p w14:paraId="3EB457F8">
            <w:pPr>
              <w:pStyle w:val="29"/>
            </w:pPr>
            <w:r>
              <w:t>封套上写明</w:t>
            </w:r>
          </w:p>
        </w:tc>
        <w:tc>
          <w:tcPr>
            <w:tcW w:w="6129" w:type="dxa"/>
            <w:tcBorders>
              <w:top w:val="single" w:color="auto" w:sz="4" w:space="0"/>
              <w:left w:val="single" w:color="auto" w:sz="4" w:space="0"/>
              <w:right w:val="single" w:color="auto" w:sz="4" w:space="0"/>
            </w:tcBorders>
            <w:vAlign w:val="center"/>
          </w:tcPr>
          <w:p w14:paraId="05A61C87">
            <w:pPr>
              <w:pStyle w:val="30"/>
            </w:pPr>
            <w:r>
              <w:rPr>
                <w:rFonts w:hint="eastAsia"/>
              </w:rPr>
              <w:t>比选文件全称：</w:t>
            </w:r>
            <w:r>
              <w:rPr>
                <w:rFonts w:hint="eastAsia"/>
                <w:u w:val="single"/>
              </w:rPr>
              <w:t xml:space="preserve">（项目名称）  </w:t>
            </w:r>
            <w:r>
              <w:rPr>
                <w:rFonts w:hint="eastAsia"/>
              </w:rPr>
              <w:t xml:space="preserve"> 第</w:t>
            </w:r>
            <w:r>
              <w:rPr>
                <w:rFonts w:hint="eastAsia"/>
                <w:u w:val="single"/>
              </w:rPr>
              <w:t xml:space="preserve">     </w:t>
            </w:r>
            <w:r>
              <w:rPr>
                <w:rFonts w:hint="eastAsia"/>
              </w:rPr>
              <w:t>标段比选申请文件</w:t>
            </w:r>
          </w:p>
          <w:p w14:paraId="53BAFD79">
            <w:pPr>
              <w:pStyle w:val="30"/>
            </w:pPr>
            <w:r>
              <w:rPr>
                <w:rFonts w:hint="eastAsia"/>
              </w:rPr>
              <w:t>比选申请人</w:t>
            </w:r>
            <w:r>
              <w:t xml:space="preserve">全称：                 </w:t>
            </w:r>
            <w:r>
              <w:rPr>
                <w:rFonts w:hint="eastAsia"/>
              </w:rPr>
              <w:t>（盖章）</w:t>
            </w:r>
          </w:p>
          <w:p w14:paraId="7F74F4D9">
            <w:pPr>
              <w:pStyle w:val="30"/>
            </w:pPr>
            <w:r>
              <w:rPr>
                <w:rFonts w:hint="eastAsia"/>
              </w:rPr>
              <w:t>在2024年9月</w:t>
            </w:r>
            <w:r>
              <w:t>1</w:t>
            </w:r>
            <w:r>
              <w:rPr>
                <w:rFonts w:hint="eastAsia"/>
                <w:lang w:val="en-US" w:eastAsia="zh-CN"/>
              </w:rPr>
              <w:t>4</w:t>
            </w:r>
            <w:r>
              <w:rPr>
                <w:rFonts w:hint="eastAsia"/>
              </w:rPr>
              <w:t>日</w:t>
            </w:r>
            <w:r>
              <w:rPr>
                <w:rFonts w:hint="eastAsia"/>
                <w:lang w:val="en-US" w:eastAsia="zh-CN"/>
              </w:rPr>
              <w:t>09:3</w:t>
            </w:r>
            <w:r>
              <w:rPr>
                <w:rFonts w:hint="eastAsia"/>
              </w:rPr>
              <w:t>0</w:t>
            </w:r>
            <w:r>
              <w:t>分前不得开启</w:t>
            </w:r>
          </w:p>
        </w:tc>
      </w:tr>
      <w:tr w14:paraId="5D7E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0EE6DCF9">
            <w:pPr>
              <w:pStyle w:val="29"/>
            </w:pPr>
            <w:r>
              <w:rPr>
                <w:rFonts w:hint="eastAsia"/>
              </w:rPr>
              <w:t>4.1.1</w:t>
            </w:r>
          </w:p>
        </w:tc>
        <w:tc>
          <w:tcPr>
            <w:tcW w:w="1902" w:type="dxa"/>
            <w:tcBorders>
              <w:top w:val="single" w:color="auto" w:sz="4" w:space="0"/>
              <w:left w:val="single" w:color="auto" w:sz="4" w:space="0"/>
              <w:right w:val="single" w:color="auto" w:sz="4" w:space="0"/>
            </w:tcBorders>
            <w:vAlign w:val="center"/>
          </w:tcPr>
          <w:p w14:paraId="18D1AB30">
            <w:pPr>
              <w:pStyle w:val="29"/>
            </w:pPr>
            <w:r>
              <w:rPr>
                <w:rFonts w:hint="eastAsia"/>
              </w:rPr>
              <w:t>装订的其他要求</w:t>
            </w:r>
          </w:p>
        </w:tc>
        <w:tc>
          <w:tcPr>
            <w:tcW w:w="6129" w:type="dxa"/>
            <w:tcBorders>
              <w:top w:val="single" w:color="auto" w:sz="4" w:space="0"/>
              <w:left w:val="single" w:color="auto" w:sz="4" w:space="0"/>
              <w:right w:val="single" w:color="auto" w:sz="4" w:space="0"/>
            </w:tcBorders>
            <w:vAlign w:val="center"/>
          </w:tcPr>
          <w:p w14:paraId="068E2215">
            <w:pPr>
              <w:pStyle w:val="30"/>
            </w:pPr>
            <w:r>
              <w:rPr>
                <w:rFonts w:hint="eastAsia"/>
              </w:rPr>
              <w:t>比选申请文件应采用粘贴或装订方式装订成册，不得采用活页夹等可随时拆换的方式装订，同时比选申请文件应编制目录、且逐页标注连续编码，否则，比选人将对比选申请文件页数的丢失、散落或其它后果不承担任何责任。</w:t>
            </w:r>
          </w:p>
        </w:tc>
      </w:tr>
      <w:tr w14:paraId="59E1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798DB06">
            <w:pPr>
              <w:pStyle w:val="29"/>
            </w:pPr>
            <w:r>
              <w:rPr>
                <w:rFonts w:hint="eastAsia"/>
              </w:rPr>
              <w:t>4.2.3</w:t>
            </w:r>
          </w:p>
        </w:tc>
        <w:tc>
          <w:tcPr>
            <w:tcW w:w="1902" w:type="dxa"/>
            <w:tcBorders>
              <w:top w:val="single" w:color="auto" w:sz="4" w:space="0"/>
              <w:left w:val="single" w:color="auto" w:sz="4" w:space="0"/>
              <w:bottom w:val="single" w:color="auto" w:sz="4" w:space="0"/>
              <w:right w:val="single" w:color="auto" w:sz="4" w:space="0"/>
            </w:tcBorders>
            <w:vAlign w:val="center"/>
          </w:tcPr>
          <w:p w14:paraId="5F7E7760">
            <w:pPr>
              <w:pStyle w:val="29"/>
            </w:pPr>
            <w:r>
              <w:rPr>
                <w:rFonts w:hint="eastAsia"/>
              </w:rPr>
              <w:t>是否退还比选申请文件</w:t>
            </w:r>
          </w:p>
        </w:tc>
        <w:tc>
          <w:tcPr>
            <w:tcW w:w="6129" w:type="dxa"/>
            <w:tcBorders>
              <w:top w:val="single" w:color="auto" w:sz="4" w:space="0"/>
              <w:left w:val="single" w:color="auto" w:sz="4" w:space="0"/>
              <w:bottom w:val="single" w:color="auto" w:sz="4" w:space="0"/>
              <w:right w:val="single" w:color="auto" w:sz="4" w:space="0"/>
            </w:tcBorders>
            <w:vAlign w:val="center"/>
          </w:tcPr>
          <w:p w14:paraId="65CCC4B7">
            <w:pPr>
              <w:pStyle w:val="30"/>
            </w:pPr>
            <w:r>
              <w:rPr>
                <w:rFonts w:hint="eastAsia"/>
              </w:rPr>
              <w:t>当比选申请人少于3个（不含3个），该标段将不予开标，比选申请文件将被“退还”给比选申请人。</w:t>
            </w:r>
          </w:p>
        </w:tc>
      </w:tr>
      <w:tr w14:paraId="2A06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A617B37">
            <w:pPr>
              <w:pStyle w:val="29"/>
            </w:pPr>
            <w:r>
              <w:rPr>
                <w:rFonts w:hint="eastAsia"/>
              </w:rPr>
              <w:t>5.1</w:t>
            </w:r>
          </w:p>
        </w:tc>
        <w:tc>
          <w:tcPr>
            <w:tcW w:w="1902" w:type="dxa"/>
            <w:tcBorders>
              <w:top w:val="single" w:color="auto" w:sz="4" w:space="0"/>
              <w:left w:val="single" w:color="auto" w:sz="4" w:space="0"/>
              <w:bottom w:val="single" w:color="auto" w:sz="4" w:space="0"/>
              <w:right w:val="single" w:color="auto" w:sz="4" w:space="0"/>
            </w:tcBorders>
            <w:vAlign w:val="center"/>
          </w:tcPr>
          <w:p w14:paraId="278C708D">
            <w:pPr>
              <w:pStyle w:val="29"/>
            </w:pPr>
            <w:r>
              <w:rPr>
                <w:rFonts w:hint="eastAsia"/>
              </w:rPr>
              <w:t>开标时间和地点</w:t>
            </w:r>
          </w:p>
        </w:tc>
        <w:tc>
          <w:tcPr>
            <w:tcW w:w="6129" w:type="dxa"/>
            <w:tcBorders>
              <w:top w:val="single" w:color="auto" w:sz="4" w:space="0"/>
              <w:left w:val="single" w:color="auto" w:sz="4" w:space="0"/>
              <w:bottom w:val="single" w:color="auto" w:sz="4" w:space="0"/>
              <w:right w:val="single" w:color="auto" w:sz="4" w:space="0"/>
            </w:tcBorders>
            <w:vAlign w:val="center"/>
          </w:tcPr>
          <w:p w14:paraId="7E12A260">
            <w:pPr>
              <w:pStyle w:val="30"/>
            </w:pPr>
            <w:r>
              <w:rPr>
                <w:rFonts w:hint="eastAsia"/>
              </w:rPr>
              <w:t>开标时间：见比选公告</w:t>
            </w:r>
          </w:p>
          <w:p w14:paraId="19966B40">
            <w:pPr>
              <w:pStyle w:val="30"/>
            </w:pPr>
            <w:r>
              <w:rPr>
                <w:rFonts w:hint="eastAsia"/>
              </w:rPr>
              <w:t>开标地点：见比选公告</w:t>
            </w:r>
          </w:p>
        </w:tc>
      </w:tr>
      <w:tr w14:paraId="5DDA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39B9E28">
            <w:pPr>
              <w:pStyle w:val="29"/>
            </w:pPr>
            <w:r>
              <w:rPr>
                <w:rFonts w:hint="eastAsia"/>
              </w:rPr>
              <w:t>5.2</w:t>
            </w:r>
          </w:p>
        </w:tc>
        <w:tc>
          <w:tcPr>
            <w:tcW w:w="1902" w:type="dxa"/>
            <w:tcBorders>
              <w:top w:val="single" w:color="auto" w:sz="4" w:space="0"/>
              <w:left w:val="single" w:color="auto" w:sz="4" w:space="0"/>
              <w:bottom w:val="single" w:color="auto" w:sz="4" w:space="0"/>
              <w:right w:val="single" w:color="auto" w:sz="4" w:space="0"/>
            </w:tcBorders>
            <w:vAlign w:val="center"/>
          </w:tcPr>
          <w:p w14:paraId="7C142A08">
            <w:pPr>
              <w:pStyle w:val="29"/>
            </w:pPr>
            <w:r>
              <w:rPr>
                <w:rFonts w:hint="eastAsia"/>
              </w:rPr>
              <w:t>开标程序</w:t>
            </w:r>
          </w:p>
        </w:tc>
        <w:tc>
          <w:tcPr>
            <w:tcW w:w="6129" w:type="dxa"/>
            <w:tcBorders>
              <w:top w:val="single" w:color="auto" w:sz="4" w:space="0"/>
              <w:left w:val="single" w:color="auto" w:sz="4" w:space="0"/>
              <w:bottom w:val="single" w:color="auto" w:sz="4" w:space="0"/>
              <w:right w:val="single" w:color="auto" w:sz="4" w:space="0"/>
            </w:tcBorders>
            <w:vAlign w:val="center"/>
          </w:tcPr>
          <w:p w14:paraId="44776980">
            <w:pPr>
              <w:pStyle w:val="30"/>
            </w:pPr>
            <w:r>
              <w:rPr>
                <w:rFonts w:hint="eastAsia"/>
              </w:rPr>
              <w:t>现场</w:t>
            </w:r>
            <w:r>
              <w:t>开标：</w:t>
            </w:r>
          </w:p>
          <w:p w14:paraId="5DBC35E1">
            <w:pPr>
              <w:pStyle w:val="30"/>
            </w:pPr>
            <w:r>
              <w:rPr>
                <w:rFonts w:hint="eastAsia"/>
              </w:rPr>
              <w:t>（</w:t>
            </w:r>
            <w:r>
              <w:t>1</w:t>
            </w:r>
            <w:r>
              <w:rPr>
                <w:rFonts w:hint="eastAsia"/>
              </w:rPr>
              <w:t>）宣布开标纪律；</w:t>
            </w:r>
          </w:p>
          <w:p w14:paraId="64D965AF">
            <w:pPr>
              <w:pStyle w:val="30"/>
            </w:pPr>
            <w:r>
              <w:rPr>
                <w:rFonts w:hint="eastAsia"/>
              </w:rPr>
              <w:t>（</w:t>
            </w:r>
            <w:r>
              <w:t>2</w:t>
            </w:r>
            <w:r>
              <w:rPr>
                <w:rFonts w:hint="eastAsia"/>
              </w:rPr>
              <w:t>）宣布监督人员姓名、单位、联系方式；</w:t>
            </w:r>
          </w:p>
          <w:p w14:paraId="4D93567B">
            <w:pPr>
              <w:pStyle w:val="30"/>
            </w:pPr>
            <w:r>
              <w:rPr>
                <w:rFonts w:hint="eastAsia"/>
              </w:rPr>
              <w:t>（</w:t>
            </w:r>
            <w:r>
              <w:t>3</w:t>
            </w:r>
            <w:r>
              <w:rPr>
                <w:rFonts w:hint="eastAsia"/>
              </w:rPr>
              <w:t>）公布比选截止时间前递交比选申请文件的比选申请人数量；</w:t>
            </w:r>
          </w:p>
          <w:p w14:paraId="6E471EFE">
            <w:pPr>
              <w:pStyle w:val="30"/>
            </w:pPr>
            <w:r>
              <w:rPr>
                <w:rFonts w:hint="eastAsia"/>
              </w:rPr>
              <w:t>（4</w:t>
            </w:r>
            <w:r>
              <w:t>）公布</w:t>
            </w:r>
            <w:r>
              <w:rPr>
                <w:rFonts w:hint="eastAsia"/>
              </w:rPr>
              <w:t>项目</w:t>
            </w:r>
            <w:r>
              <w:t>名称、</w:t>
            </w:r>
            <w:r>
              <w:rPr>
                <w:rFonts w:hint="eastAsia"/>
              </w:rPr>
              <w:t>比选申请人</w:t>
            </w:r>
            <w:r>
              <w:t>名称等内容，并记录</w:t>
            </w:r>
            <w:r>
              <w:rPr>
                <w:rFonts w:hint="eastAsia"/>
              </w:rPr>
              <w:t>；</w:t>
            </w:r>
          </w:p>
          <w:p w14:paraId="7119E093">
            <w:pPr>
              <w:pStyle w:val="30"/>
            </w:pPr>
            <w:r>
              <w:rPr>
                <w:rFonts w:hint="eastAsia"/>
              </w:rPr>
              <w:t>（5</w:t>
            </w:r>
            <w:r>
              <w:t>）开标结束。</w:t>
            </w:r>
          </w:p>
        </w:tc>
      </w:tr>
      <w:tr w14:paraId="5E44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A4DAFB6">
            <w:pPr>
              <w:pStyle w:val="29"/>
            </w:pPr>
            <w:r>
              <w:rPr>
                <w:rFonts w:hint="eastAsia"/>
              </w:rPr>
              <w:t>6.1.1</w:t>
            </w:r>
          </w:p>
        </w:tc>
        <w:tc>
          <w:tcPr>
            <w:tcW w:w="1902" w:type="dxa"/>
            <w:vAlign w:val="center"/>
          </w:tcPr>
          <w:p w14:paraId="41B2289F">
            <w:pPr>
              <w:pStyle w:val="29"/>
            </w:pPr>
            <w:r>
              <w:rPr>
                <w:rFonts w:hint="eastAsia"/>
              </w:rPr>
              <w:t>评选委员会的组建</w:t>
            </w:r>
          </w:p>
        </w:tc>
        <w:tc>
          <w:tcPr>
            <w:tcW w:w="6129" w:type="dxa"/>
            <w:vAlign w:val="center"/>
          </w:tcPr>
          <w:p w14:paraId="3A2D3AC8">
            <w:pPr>
              <w:pStyle w:val="30"/>
            </w:pPr>
            <w:r>
              <w:rPr>
                <w:rFonts w:hint="eastAsia"/>
              </w:rPr>
              <w:t>评选委员会构成：</w:t>
            </w:r>
            <w:r>
              <w:t>5</w:t>
            </w:r>
            <w:r>
              <w:rPr>
                <w:rFonts w:hint="eastAsia"/>
              </w:rPr>
              <w:t>人。在比选人评选专家库中随机抽取。</w:t>
            </w:r>
          </w:p>
        </w:tc>
      </w:tr>
      <w:tr w14:paraId="4569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3014F39E">
            <w:pPr>
              <w:pStyle w:val="29"/>
            </w:pPr>
            <w:r>
              <w:rPr>
                <w:rFonts w:hint="eastAsia"/>
              </w:rPr>
              <w:t>6.3.1</w:t>
            </w:r>
          </w:p>
        </w:tc>
        <w:tc>
          <w:tcPr>
            <w:tcW w:w="1902" w:type="dxa"/>
            <w:vAlign w:val="center"/>
          </w:tcPr>
          <w:p w14:paraId="549AECD8">
            <w:pPr>
              <w:pStyle w:val="29"/>
            </w:pPr>
            <w:r>
              <w:rPr>
                <w:rFonts w:hint="eastAsia"/>
              </w:rPr>
              <w:t>评选方法</w:t>
            </w:r>
          </w:p>
        </w:tc>
        <w:tc>
          <w:tcPr>
            <w:tcW w:w="6129" w:type="dxa"/>
            <w:vAlign w:val="center"/>
          </w:tcPr>
          <w:p w14:paraId="388AA20C">
            <w:pPr>
              <w:pStyle w:val="30"/>
            </w:pPr>
            <w:r>
              <w:rPr>
                <w:rFonts w:hint="eastAsia"/>
              </w:rPr>
              <w:t>本次比选采用资格后审，评选办法采用综合评估法，详见第三章评选办法。</w:t>
            </w:r>
          </w:p>
        </w:tc>
      </w:tr>
      <w:tr w14:paraId="76A3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5B075BF4">
            <w:pPr>
              <w:pStyle w:val="29"/>
            </w:pPr>
            <w:r>
              <w:rPr>
                <w:rFonts w:hint="eastAsia"/>
              </w:rPr>
              <w:t>6.3.2</w:t>
            </w:r>
          </w:p>
        </w:tc>
        <w:tc>
          <w:tcPr>
            <w:tcW w:w="1902" w:type="dxa"/>
            <w:vAlign w:val="center"/>
          </w:tcPr>
          <w:p w14:paraId="6A6F92CD">
            <w:pPr>
              <w:pStyle w:val="29"/>
            </w:pPr>
            <w:r>
              <w:rPr>
                <w:rFonts w:hint="eastAsia"/>
              </w:rPr>
              <w:t>评选委员会推荐的中选候选人的人数</w:t>
            </w:r>
          </w:p>
        </w:tc>
        <w:tc>
          <w:tcPr>
            <w:tcW w:w="6129" w:type="dxa"/>
            <w:vAlign w:val="center"/>
          </w:tcPr>
          <w:p w14:paraId="0E4824D5">
            <w:pPr>
              <w:pStyle w:val="30"/>
            </w:pPr>
            <w:r>
              <w:rPr>
                <w:rFonts w:hint="eastAsia"/>
              </w:rPr>
              <w:t>评选委员会推荐中选候选人的人数：</w:t>
            </w:r>
            <w:r>
              <w:t>3</w:t>
            </w:r>
            <w:r>
              <w:rPr>
                <w:rFonts w:hint="eastAsia"/>
              </w:rPr>
              <w:t>名（若不足</w:t>
            </w:r>
            <w:r>
              <w:t>3</w:t>
            </w:r>
            <w:r>
              <w:rPr>
                <w:rFonts w:hint="eastAsia"/>
              </w:rPr>
              <w:t>名，则按相应数量推荐）</w:t>
            </w:r>
          </w:p>
        </w:tc>
      </w:tr>
      <w:tr w14:paraId="707E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0A06D1A2">
            <w:pPr>
              <w:pStyle w:val="29"/>
            </w:pPr>
            <w:r>
              <w:rPr>
                <w:rFonts w:hint="eastAsia"/>
              </w:rPr>
              <w:t>7.1</w:t>
            </w:r>
          </w:p>
        </w:tc>
        <w:tc>
          <w:tcPr>
            <w:tcW w:w="1902" w:type="dxa"/>
            <w:vAlign w:val="center"/>
          </w:tcPr>
          <w:p w14:paraId="6F746E87">
            <w:pPr>
              <w:pStyle w:val="29"/>
            </w:pPr>
            <w:r>
              <w:rPr>
                <w:rFonts w:hint="eastAsia"/>
              </w:rPr>
              <w:t>中选候选人公示媒介及期限</w:t>
            </w:r>
          </w:p>
        </w:tc>
        <w:tc>
          <w:tcPr>
            <w:tcW w:w="6129" w:type="dxa"/>
            <w:vAlign w:val="center"/>
          </w:tcPr>
          <w:p w14:paraId="273785DC">
            <w:pPr>
              <w:pStyle w:val="30"/>
            </w:pPr>
            <w:r>
              <w:rPr>
                <w:rFonts w:hint="eastAsia"/>
              </w:rPr>
              <w:t>公示媒介：同比选公告</w:t>
            </w:r>
          </w:p>
          <w:p w14:paraId="1BCE0100">
            <w:pPr>
              <w:pStyle w:val="30"/>
            </w:pPr>
            <w:r>
              <w:rPr>
                <w:rFonts w:hint="eastAsia"/>
              </w:rPr>
              <w:t>公示期限：</w:t>
            </w:r>
            <w:r>
              <w:t>3</w:t>
            </w:r>
            <w:r>
              <w:rPr>
                <w:rFonts w:hint="eastAsia"/>
              </w:rPr>
              <w:t>个工作日</w:t>
            </w:r>
          </w:p>
        </w:tc>
      </w:tr>
      <w:tr w14:paraId="33E2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B0AECD1">
            <w:pPr>
              <w:pStyle w:val="29"/>
            </w:pPr>
            <w:r>
              <w:rPr>
                <w:rFonts w:hint="eastAsia"/>
              </w:rPr>
              <w:t>7.4</w:t>
            </w:r>
          </w:p>
        </w:tc>
        <w:tc>
          <w:tcPr>
            <w:tcW w:w="1902" w:type="dxa"/>
            <w:vAlign w:val="center"/>
          </w:tcPr>
          <w:p w14:paraId="37E814CB">
            <w:pPr>
              <w:pStyle w:val="29"/>
            </w:pPr>
            <w:r>
              <w:rPr>
                <w:rFonts w:hint="eastAsia"/>
              </w:rPr>
              <w:t>是否授权评选委员会确定中选人</w:t>
            </w:r>
          </w:p>
        </w:tc>
        <w:tc>
          <w:tcPr>
            <w:tcW w:w="6129" w:type="dxa"/>
            <w:vAlign w:val="center"/>
          </w:tcPr>
          <w:p w14:paraId="5DF48AA3">
            <w:pPr>
              <w:pStyle w:val="30"/>
            </w:pPr>
            <w:r>
              <w:rPr>
                <w:rFonts w:hint="eastAsia"/>
              </w:rPr>
              <w:t>□是</w:t>
            </w:r>
          </w:p>
          <w:p w14:paraId="509AAE51">
            <w:pPr>
              <w:pStyle w:val="30"/>
            </w:pPr>
            <w:r>
              <w:rPr>
                <w:rFonts w:hint="eastAsia"/>
              </w:rPr>
              <w:t>☑否</w:t>
            </w:r>
          </w:p>
          <w:p w14:paraId="3DE67479">
            <w:pPr>
              <w:pStyle w:val="30"/>
            </w:pPr>
            <w:r>
              <w:rPr>
                <w:rFonts w:hint="eastAsia"/>
              </w:rPr>
              <w:t xml:space="preserve">（1）比选人不授权评选委员会确定中选人。比选人将依据评选委员会推荐的中选候选人，确定排名第一的中选候选人为中选人； </w:t>
            </w:r>
          </w:p>
          <w:p w14:paraId="2FD481A1">
            <w:pPr>
              <w:pStyle w:val="30"/>
            </w:pPr>
            <w:r>
              <w:rPr>
                <w:rFonts w:hint="eastAsia"/>
              </w:rPr>
              <w:t>（2）排名第一的中选候选人放弃中选；或因不可抗力不能履行合同；或不按比选文件要求提交履约保证金；或被查实存在影响中选结果的违法行为等情形不符合中选条件的，比选人可以按照评选委员会提出的中选候选人名单排序依次确定其他中选候选人为中选人，也可以重新比选。</w:t>
            </w:r>
          </w:p>
        </w:tc>
      </w:tr>
      <w:tr w14:paraId="6588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4FBB5122">
            <w:pPr>
              <w:pStyle w:val="29"/>
            </w:pPr>
            <w:r>
              <w:rPr>
                <w:rFonts w:hint="eastAsia"/>
              </w:rPr>
              <w:t>7.5</w:t>
            </w:r>
          </w:p>
        </w:tc>
        <w:tc>
          <w:tcPr>
            <w:tcW w:w="1902" w:type="dxa"/>
            <w:vAlign w:val="center"/>
          </w:tcPr>
          <w:p w14:paraId="726A4679">
            <w:pPr>
              <w:pStyle w:val="29"/>
            </w:pPr>
            <w:r>
              <w:rPr>
                <w:rFonts w:hint="eastAsia"/>
              </w:rPr>
              <w:t>中选通知书或中选结果通知发出的形式</w:t>
            </w:r>
          </w:p>
        </w:tc>
        <w:tc>
          <w:tcPr>
            <w:tcW w:w="6129" w:type="dxa"/>
            <w:vAlign w:val="center"/>
          </w:tcPr>
          <w:p w14:paraId="5C441384">
            <w:pPr>
              <w:pStyle w:val="30"/>
            </w:pPr>
            <w:r>
              <w:rPr>
                <w:rFonts w:hint="eastAsia"/>
              </w:rPr>
              <w:t>纸质形式。</w:t>
            </w:r>
          </w:p>
        </w:tc>
      </w:tr>
      <w:tr w14:paraId="219A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3FDF176C">
            <w:pPr>
              <w:pStyle w:val="29"/>
            </w:pPr>
            <w:r>
              <w:rPr>
                <w:rFonts w:hint="eastAsia"/>
              </w:rPr>
              <w:t>7.6</w:t>
            </w:r>
          </w:p>
        </w:tc>
        <w:tc>
          <w:tcPr>
            <w:tcW w:w="1902" w:type="dxa"/>
            <w:vAlign w:val="center"/>
          </w:tcPr>
          <w:p w14:paraId="52AA1B8B">
            <w:pPr>
              <w:pStyle w:val="29"/>
            </w:pPr>
            <w:r>
              <w:rPr>
                <w:rFonts w:hint="eastAsia"/>
              </w:rPr>
              <w:t>重新比选</w:t>
            </w:r>
          </w:p>
        </w:tc>
        <w:tc>
          <w:tcPr>
            <w:tcW w:w="6129" w:type="dxa"/>
            <w:vAlign w:val="center"/>
          </w:tcPr>
          <w:p w14:paraId="55D96294">
            <w:pPr>
              <w:pStyle w:val="30"/>
            </w:pPr>
            <w:r>
              <w:rPr>
                <w:rFonts w:hint="eastAsia"/>
              </w:rPr>
              <w:t>出现下列特殊情况之一，比选人需重新比选：</w:t>
            </w:r>
          </w:p>
          <w:p w14:paraId="4598854B">
            <w:pPr>
              <w:pStyle w:val="30"/>
            </w:pPr>
            <w:r>
              <w:rPr>
                <w:rFonts w:hint="eastAsia"/>
              </w:rPr>
              <w:t>（1）比选申请人少于3个的（不含3个）；</w:t>
            </w:r>
          </w:p>
          <w:p w14:paraId="17141E78">
            <w:pPr>
              <w:pStyle w:val="30"/>
            </w:pPr>
            <w:r>
              <w:rPr>
                <w:rFonts w:hint="eastAsia"/>
              </w:rPr>
              <w:t>（2）通过资格审查的比选申请人少于3个的（不含3个），评选委员会可以否决全部比选，未否决全部比选的，评选委员会应当在评选报告中阐明理由；</w:t>
            </w:r>
          </w:p>
          <w:p w14:paraId="4A61581B">
            <w:pPr>
              <w:pStyle w:val="30"/>
            </w:pPr>
            <w:r>
              <w:rPr>
                <w:rFonts w:hint="eastAsia"/>
              </w:rPr>
              <w:t>（3）所有比选申请人的报价高于限价；</w:t>
            </w:r>
          </w:p>
          <w:p w14:paraId="29EC3C09">
            <w:pPr>
              <w:pStyle w:val="30"/>
            </w:pPr>
            <w:r>
              <w:rPr>
                <w:rFonts w:hint="eastAsia"/>
              </w:rPr>
              <w:t>（4）推荐的中选候选人均未与比选人签订合同协议书；</w:t>
            </w:r>
          </w:p>
          <w:p w14:paraId="458E8C2D">
            <w:pPr>
              <w:pStyle w:val="30"/>
            </w:pPr>
            <w:r>
              <w:rPr>
                <w:rFonts w:hint="eastAsia"/>
              </w:rPr>
              <w:t>（5）法律法规规定的其他可重新比选的情形。</w:t>
            </w:r>
          </w:p>
        </w:tc>
      </w:tr>
      <w:tr w14:paraId="7946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CE67AE1">
            <w:pPr>
              <w:pStyle w:val="29"/>
            </w:pPr>
            <w:r>
              <w:rPr>
                <w:rFonts w:hint="eastAsia"/>
              </w:rPr>
              <w:t>7.7</w:t>
            </w:r>
          </w:p>
        </w:tc>
        <w:tc>
          <w:tcPr>
            <w:tcW w:w="1902" w:type="dxa"/>
            <w:vAlign w:val="center"/>
          </w:tcPr>
          <w:p w14:paraId="566794C8">
            <w:pPr>
              <w:pStyle w:val="29"/>
            </w:pPr>
            <w:r>
              <w:rPr>
                <w:rFonts w:hint="eastAsia"/>
              </w:rPr>
              <w:t>合同价格</w:t>
            </w:r>
          </w:p>
        </w:tc>
        <w:tc>
          <w:tcPr>
            <w:tcW w:w="6129" w:type="dxa"/>
            <w:vAlign w:val="center"/>
          </w:tcPr>
          <w:p w14:paraId="2F0C1A81">
            <w:pPr>
              <w:pStyle w:val="30"/>
            </w:pPr>
            <w:r>
              <w:rPr>
                <w:rFonts w:hint="eastAsia"/>
              </w:rPr>
              <w:t>本合同价格在合同履行期间不予调整。</w:t>
            </w:r>
          </w:p>
        </w:tc>
      </w:tr>
      <w:tr w14:paraId="438C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120EEEC3">
            <w:pPr>
              <w:pStyle w:val="29"/>
            </w:pPr>
            <w:r>
              <w:rPr>
                <w:rFonts w:hint="eastAsia"/>
              </w:rPr>
              <w:t>7.7.1</w:t>
            </w:r>
          </w:p>
        </w:tc>
        <w:tc>
          <w:tcPr>
            <w:tcW w:w="1902" w:type="dxa"/>
            <w:vAlign w:val="center"/>
          </w:tcPr>
          <w:p w14:paraId="58D33236">
            <w:pPr>
              <w:pStyle w:val="29"/>
            </w:pPr>
            <w:r>
              <w:rPr>
                <w:rFonts w:hint="eastAsia"/>
              </w:rPr>
              <w:t>履约保证金</w:t>
            </w:r>
          </w:p>
        </w:tc>
        <w:tc>
          <w:tcPr>
            <w:tcW w:w="6129" w:type="dxa"/>
            <w:vAlign w:val="center"/>
          </w:tcPr>
          <w:p w14:paraId="544A84B0">
            <w:pPr>
              <w:pStyle w:val="30"/>
            </w:pPr>
            <w:r>
              <w:rPr>
                <w:rFonts w:hint="eastAsia"/>
              </w:rPr>
              <w:t>是否要求中选人提交履约保证金：</w:t>
            </w:r>
          </w:p>
          <w:p w14:paraId="134EE8D5">
            <w:pPr>
              <w:pStyle w:val="30"/>
            </w:pPr>
            <w:r>
              <w:rPr>
                <w:rFonts w:hint="eastAsia"/>
              </w:rPr>
              <w:t>☑不要求</w:t>
            </w:r>
          </w:p>
          <w:p w14:paraId="300F08AE">
            <w:pPr>
              <w:pStyle w:val="30"/>
            </w:pPr>
            <w:r>
              <w:rPr>
                <w:rFonts w:hint="eastAsia"/>
              </w:rPr>
              <w:t>□要求，</w:t>
            </w:r>
          </w:p>
          <w:p w14:paraId="084BDA6E">
            <w:pPr>
              <w:pStyle w:val="30"/>
            </w:pPr>
            <w:r>
              <w:rPr>
                <w:rFonts w:hint="eastAsia"/>
              </w:rPr>
              <w:t>（1）履约保证金的形式：提交方式为现金或银行保函。</w:t>
            </w:r>
          </w:p>
          <w:p w14:paraId="3820AA97">
            <w:pPr>
              <w:pStyle w:val="30"/>
            </w:pPr>
            <w:r>
              <w:rPr>
                <w:rFonts w:hint="eastAsia"/>
              </w:rPr>
              <w:t>（2）履约保证金的金额：合同价的10%。</w:t>
            </w:r>
          </w:p>
          <w:p w14:paraId="1E4A7981">
            <w:pPr>
              <w:pStyle w:val="30"/>
            </w:pPr>
            <w:r>
              <w:rPr>
                <w:rFonts w:hint="eastAsia"/>
              </w:rPr>
              <w:t>（3）采用银行保函时，保函有效期应满足整个合同期，出具保函的银行的要求：支行及以上国有或股份制商业银行开具。</w:t>
            </w:r>
          </w:p>
          <w:p w14:paraId="125B89C3">
            <w:pPr>
              <w:pStyle w:val="30"/>
            </w:pPr>
            <w:r>
              <w:rPr>
                <w:rFonts w:hint="eastAsia"/>
              </w:rPr>
              <w:t>采用现金时，必须从中选人的基本账户开户银行一次性转出或开具。</w:t>
            </w:r>
          </w:p>
          <w:p w14:paraId="07D5B067">
            <w:pPr>
              <w:pStyle w:val="30"/>
            </w:pPr>
            <w:r>
              <w:rPr>
                <w:rFonts w:hint="eastAsia"/>
              </w:rPr>
              <w:t>比选人提供的账户如下：</w:t>
            </w:r>
          </w:p>
          <w:p w14:paraId="3E2D6A53">
            <w:pPr>
              <w:pStyle w:val="30"/>
            </w:pPr>
            <w:r>
              <w:rPr>
                <w:rFonts w:hint="eastAsia"/>
              </w:rPr>
              <w:t>账户名称：</w:t>
            </w:r>
          </w:p>
          <w:p w14:paraId="0E2E7B4B">
            <w:pPr>
              <w:pStyle w:val="30"/>
            </w:pPr>
            <w:r>
              <w:rPr>
                <w:rFonts w:hint="eastAsia"/>
              </w:rPr>
              <w:t>账  号：</w:t>
            </w:r>
          </w:p>
          <w:p w14:paraId="37CC108D">
            <w:pPr>
              <w:pStyle w:val="30"/>
            </w:pPr>
            <w:r>
              <w:rPr>
                <w:rFonts w:hint="eastAsia"/>
              </w:rPr>
              <w:t>开户银行：</w:t>
            </w:r>
          </w:p>
          <w:p w14:paraId="76DDC773">
            <w:pPr>
              <w:pStyle w:val="30"/>
            </w:pPr>
            <w:r>
              <w:rPr>
                <w:rFonts w:hint="eastAsia"/>
              </w:rPr>
              <w:t>（4）提交履约保证金时间：在中选通知书发出后，且应在签订合同之前提交。</w:t>
            </w:r>
          </w:p>
        </w:tc>
      </w:tr>
      <w:tr w14:paraId="1D4C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69BBC26">
            <w:pPr>
              <w:pStyle w:val="29"/>
            </w:pPr>
            <w:r>
              <w:rPr>
                <w:rFonts w:hint="eastAsia"/>
              </w:rPr>
              <w:t>7.8.1</w:t>
            </w:r>
          </w:p>
        </w:tc>
        <w:tc>
          <w:tcPr>
            <w:tcW w:w="1902" w:type="dxa"/>
            <w:vAlign w:val="center"/>
          </w:tcPr>
          <w:p w14:paraId="50C16E1F">
            <w:pPr>
              <w:pStyle w:val="29"/>
            </w:pPr>
            <w:r>
              <w:rPr>
                <w:rFonts w:hint="eastAsia"/>
              </w:rPr>
              <w:t>签订合同</w:t>
            </w:r>
          </w:p>
        </w:tc>
        <w:tc>
          <w:tcPr>
            <w:tcW w:w="6129" w:type="dxa"/>
            <w:vAlign w:val="center"/>
          </w:tcPr>
          <w:p w14:paraId="6542976B">
            <w:pPr>
              <w:pStyle w:val="30"/>
            </w:pPr>
            <w:r>
              <w:rPr>
                <w:rFonts w:hint="eastAsia"/>
              </w:rPr>
              <w:t>（1）比选人将把合同授予按第7.7.1款要求提交履约担保的中选人。</w:t>
            </w:r>
          </w:p>
          <w:p w14:paraId="1A4229E5">
            <w:pPr>
              <w:pStyle w:val="30"/>
            </w:pPr>
            <w:r>
              <w:rPr>
                <w:rFonts w:hint="eastAsia"/>
              </w:rPr>
              <w:t>（2）在比选人发出中选通知书后30日内，中选人与发包人签订合同。</w:t>
            </w:r>
          </w:p>
        </w:tc>
      </w:tr>
      <w:tr w14:paraId="77E2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5B174297">
            <w:pPr>
              <w:pStyle w:val="29"/>
            </w:pPr>
            <w:r>
              <w:rPr>
                <w:rFonts w:hint="eastAsia"/>
              </w:rPr>
              <w:t>8.5.1</w:t>
            </w:r>
          </w:p>
        </w:tc>
        <w:tc>
          <w:tcPr>
            <w:tcW w:w="1902" w:type="dxa"/>
            <w:vAlign w:val="center"/>
          </w:tcPr>
          <w:p w14:paraId="3BB7458C">
            <w:pPr>
              <w:pStyle w:val="29"/>
            </w:pPr>
            <w:r>
              <w:rPr>
                <w:rFonts w:hint="eastAsia"/>
              </w:rPr>
              <w:t>监督部门</w:t>
            </w:r>
          </w:p>
        </w:tc>
        <w:tc>
          <w:tcPr>
            <w:tcW w:w="6129" w:type="dxa"/>
            <w:vAlign w:val="center"/>
          </w:tcPr>
          <w:p w14:paraId="4CC42AF5">
            <w:pPr>
              <w:pStyle w:val="30"/>
            </w:pPr>
            <w:r>
              <w:rPr>
                <w:rFonts w:hint="eastAsia"/>
              </w:rPr>
              <w:t>四川汶马高速公路有限责任公司 纪检办公室</w:t>
            </w:r>
          </w:p>
          <w:p w14:paraId="50CCA08A">
            <w:pPr>
              <w:pStyle w:val="30"/>
            </w:pPr>
            <w:r>
              <w:rPr>
                <w:rFonts w:hint="eastAsia"/>
              </w:rPr>
              <w:t>地    址：四川省成都市都江堰市玉堂街道都汶高速都江堰西收费站旁汶马公司新办公楼2-10纪检办公室</w:t>
            </w:r>
          </w:p>
          <w:p w14:paraId="09F7AA00">
            <w:pPr>
              <w:pStyle w:val="30"/>
            </w:pPr>
            <w:r>
              <w:rPr>
                <w:rFonts w:hint="eastAsia"/>
              </w:rPr>
              <w:t>电    话：028—87113130</w:t>
            </w:r>
          </w:p>
          <w:p w14:paraId="3BEA444B">
            <w:pPr>
              <w:pStyle w:val="30"/>
            </w:pPr>
            <w:r>
              <w:rPr>
                <w:rFonts w:hint="eastAsia"/>
              </w:rPr>
              <w:t>邮政编码：610041</w:t>
            </w:r>
          </w:p>
        </w:tc>
      </w:tr>
      <w:tr w14:paraId="276E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592CDF47">
            <w:pPr>
              <w:pStyle w:val="29"/>
            </w:pPr>
            <w:r>
              <w:rPr>
                <w:rFonts w:hint="eastAsia"/>
              </w:rPr>
              <w:t>9</w:t>
            </w:r>
          </w:p>
        </w:tc>
        <w:tc>
          <w:tcPr>
            <w:tcW w:w="1902" w:type="dxa"/>
            <w:vAlign w:val="center"/>
          </w:tcPr>
          <w:p w14:paraId="1B6C53A3">
            <w:pPr>
              <w:pStyle w:val="29"/>
            </w:pPr>
            <w:r>
              <w:rPr>
                <w:rFonts w:hint="eastAsia"/>
              </w:rPr>
              <w:t>是否采用电子比选</w:t>
            </w:r>
          </w:p>
        </w:tc>
        <w:tc>
          <w:tcPr>
            <w:tcW w:w="6129" w:type="dxa"/>
            <w:vAlign w:val="center"/>
          </w:tcPr>
          <w:p w14:paraId="1850D37E">
            <w:pPr>
              <w:pStyle w:val="30"/>
            </w:pPr>
            <w:r>
              <w:rPr>
                <w:rFonts w:hint="eastAsia"/>
              </w:rPr>
              <w:t>□是</w:t>
            </w:r>
          </w:p>
          <w:p w14:paraId="423884BE">
            <w:pPr>
              <w:pStyle w:val="30"/>
            </w:pPr>
            <w:r>
              <w:rPr>
                <w:rFonts w:hint="eastAsia"/>
              </w:rPr>
              <w:t>☑否</w:t>
            </w:r>
          </w:p>
        </w:tc>
      </w:tr>
      <w:tr w14:paraId="643D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911" w:type="dxa"/>
            <w:gridSpan w:val="3"/>
            <w:vAlign w:val="center"/>
          </w:tcPr>
          <w:p w14:paraId="472AC188">
            <w:pPr>
              <w:pStyle w:val="30"/>
            </w:pPr>
            <w:r>
              <w:rPr>
                <w:rFonts w:hint="eastAsia"/>
              </w:rPr>
              <w:t>需要补充的其他内容</w:t>
            </w:r>
          </w:p>
        </w:tc>
      </w:tr>
      <w:tr w14:paraId="1F7E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35F90B1E">
            <w:pPr>
              <w:pStyle w:val="29"/>
            </w:pPr>
            <w:r>
              <w:rPr>
                <w:rFonts w:hint="eastAsia"/>
              </w:rPr>
              <w:t>10.1</w:t>
            </w:r>
          </w:p>
        </w:tc>
        <w:tc>
          <w:tcPr>
            <w:tcW w:w="1902" w:type="dxa"/>
            <w:vAlign w:val="center"/>
          </w:tcPr>
          <w:p w14:paraId="11FD16C5">
            <w:pPr>
              <w:pStyle w:val="29"/>
            </w:pPr>
            <w:r>
              <w:rPr>
                <w:rFonts w:hint="eastAsia"/>
              </w:rPr>
              <w:t>比选申请人的通讯和其他要求</w:t>
            </w:r>
          </w:p>
        </w:tc>
        <w:tc>
          <w:tcPr>
            <w:tcW w:w="6129" w:type="dxa"/>
            <w:vAlign w:val="center"/>
          </w:tcPr>
          <w:p w14:paraId="300A1E71">
            <w:pPr>
              <w:pStyle w:val="30"/>
            </w:pPr>
            <w:r>
              <w:rPr>
                <w:rFonts w:hint="eastAsia"/>
              </w:rPr>
              <w:t>（1）比选申请人在送交比选申请文件之前无需向比选人登记有关比选申请人信息，不提供联系方式，应按比选文件要求自行从比选人指定网站查阅和下载比选文件、补遗书，不能下载的应及时与比选人联系，否则后果自行承担。比选申请人下载补遗书后，不再向比选人发出确认函。本项目不组织现场踏勘及比选预备会，需踏勘现场的比选申请人可自行组织前往，相关费用自理，安全责任自行承担。</w:t>
            </w:r>
          </w:p>
          <w:p w14:paraId="6C816D1F">
            <w:pPr>
              <w:pStyle w:val="30"/>
            </w:pPr>
            <w:r>
              <w:rPr>
                <w:rFonts w:hint="eastAsia"/>
              </w:rPr>
              <w:t>（2）比选申请人在递交比选申请文件时登记比选申请人信息及有效的联系方式，至评选结果公示前，必须保证其提供的联系方式处于有效工作状态，比选人不承担由于与比选申请人联系中断给比选申请人带来的任何损失责任。</w:t>
            </w:r>
          </w:p>
        </w:tc>
      </w:tr>
      <w:tr w14:paraId="1D34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21CDCDC3">
            <w:pPr>
              <w:pStyle w:val="29"/>
            </w:pPr>
            <w:r>
              <w:rPr>
                <w:rFonts w:hint="eastAsia"/>
              </w:rPr>
              <w:t>10.2</w:t>
            </w:r>
          </w:p>
        </w:tc>
        <w:tc>
          <w:tcPr>
            <w:tcW w:w="1902" w:type="dxa"/>
            <w:vAlign w:val="center"/>
          </w:tcPr>
          <w:p w14:paraId="0E79ED45">
            <w:pPr>
              <w:pStyle w:val="29"/>
            </w:pPr>
            <w:r>
              <w:rPr>
                <w:rFonts w:hint="eastAsia"/>
              </w:rPr>
              <w:t>比选申请文件中权利和义务应符合比选文件的规定</w:t>
            </w:r>
          </w:p>
        </w:tc>
        <w:tc>
          <w:tcPr>
            <w:tcW w:w="6129" w:type="dxa"/>
            <w:vAlign w:val="center"/>
          </w:tcPr>
          <w:p w14:paraId="3679694E">
            <w:pPr>
              <w:pStyle w:val="30"/>
            </w:pPr>
            <w:r>
              <w:t>（1）</w:t>
            </w:r>
            <w:r>
              <w:rPr>
                <w:rFonts w:hint="eastAsia"/>
              </w:rPr>
              <w:t>比选申请人</w:t>
            </w:r>
            <w:r>
              <w:t>应接受</w:t>
            </w:r>
            <w:r>
              <w:rPr>
                <w:rFonts w:hint="eastAsia"/>
              </w:rPr>
              <w:t>比选</w:t>
            </w:r>
            <w:r>
              <w:t>文件规定的风险划分原则，未提出新的风险划分办法；</w:t>
            </w:r>
          </w:p>
          <w:p w14:paraId="44192FC9">
            <w:pPr>
              <w:pStyle w:val="30"/>
            </w:pPr>
            <w:r>
              <w:t>（2）</w:t>
            </w:r>
            <w:r>
              <w:rPr>
                <w:rFonts w:hint="eastAsia"/>
              </w:rPr>
              <w:t>比选申请人</w:t>
            </w:r>
            <w:r>
              <w:t>未增加发包人的责任范围，或减少</w:t>
            </w:r>
            <w:r>
              <w:rPr>
                <w:rFonts w:hint="eastAsia"/>
              </w:rPr>
              <w:t>比选申请人</w:t>
            </w:r>
            <w:r>
              <w:t>义务；</w:t>
            </w:r>
          </w:p>
          <w:p w14:paraId="5717040E">
            <w:pPr>
              <w:pStyle w:val="30"/>
            </w:pPr>
            <w:r>
              <w:t>（3）</w:t>
            </w:r>
            <w:r>
              <w:rPr>
                <w:rFonts w:hint="eastAsia"/>
              </w:rPr>
              <w:t>比选申请人</w:t>
            </w:r>
            <w:r>
              <w:t>未提出不同的工程验收、计量、支付办法；</w:t>
            </w:r>
          </w:p>
          <w:p w14:paraId="46C869F5">
            <w:pPr>
              <w:pStyle w:val="30"/>
            </w:pPr>
            <w:r>
              <w:t>（4）</w:t>
            </w:r>
            <w:r>
              <w:rPr>
                <w:rFonts w:hint="eastAsia"/>
              </w:rPr>
              <w:t>比选申请人</w:t>
            </w:r>
            <w:r>
              <w:t>对合同纠纷、事故处理办法未提出异议；</w:t>
            </w:r>
          </w:p>
          <w:p w14:paraId="1655412F">
            <w:pPr>
              <w:pStyle w:val="30"/>
            </w:pPr>
            <w:r>
              <w:t>（5）</w:t>
            </w:r>
            <w:r>
              <w:rPr>
                <w:rFonts w:hint="eastAsia"/>
              </w:rPr>
              <w:t>比选申请人</w:t>
            </w:r>
            <w:r>
              <w:t>在</w:t>
            </w:r>
            <w:r>
              <w:rPr>
                <w:rFonts w:hint="eastAsia"/>
              </w:rPr>
              <w:t>比选</w:t>
            </w:r>
            <w:r>
              <w:t>活动中无欺诈行为；</w:t>
            </w:r>
          </w:p>
          <w:p w14:paraId="1710F1D8">
            <w:pPr>
              <w:pStyle w:val="30"/>
            </w:pPr>
            <w:r>
              <w:t>（6）</w:t>
            </w:r>
            <w:r>
              <w:rPr>
                <w:rFonts w:hint="eastAsia"/>
              </w:rPr>
              <w:t>比选申请人</w:t>
            </w:r>
            <w:r>
              <w:t>未对合同条款有重要保留</w:t>
            </w:r>
            <w:r>
              <w:rPr>
                <w:rFonts w:hint="eastAsia"/>
              </w:rPr>
              <w:t>。</w:t>
            </w:r>
          </w:p>
        </w:tc>
      </w:tr>
      <w:tr w14:paraId="7B2A5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57533701">
            <w:pPr>
              <w:pStyle w:val="29"/>
            </w:pPr>
            <w:r>
              <w:rPr>
                <w:rFonts w:hint="eastAsia"/>
              </w:rPr>
              <w:t>10.3</w:t>
            </w:r>
          </w:p>
        </w:tc>
        <w:tc>
          <w:tcPr>
            <w:tcW w:w="1902" w:type="dxa"/>
            <w:vAlign w:val="center"/>
          </w:tcPr>
          <w:p w14:paraId="0003AC48">
            <w:pPr>
              <w:pStyle w:val="29"/>
            </w:pPr>
            <w:r>
              <w:rPr>
                <w:rFonts w:hint="eastAsia"/>
              </w:rPr>
              <w:t>放弃中选的处理</w:t>
            </w:r>
          </w:p>
        </w:tc>
        <w:tc>
          <w:tcPr>
            <w:tcW w:w="6129" w:type="dxa"/>
            <w:vAlign w:val="center"/>
          </w:tcPr>
          <w:p w14:paraId="7513C711">
            <w:pPr>
              <w:pStyle w:val="30"/>
            </w:pPr>
            <w:r>
              <w:rPr>
                <w:rFonts w:hint="eastAsia"/>
              </w:rPr>
              <w:t>（1）比选有效期内，比选申请人不得撤销比选申请文件。比选申请人若撤销比选申请文件的，比选人将不予退还其比选保证金，并将上报相关部门；</w:t>
            </w:r>
          </w:p>
          <w:p w14:paraId="42907EB6">
            <w:pPr>
              <w:pStyle w:val="30"/>
            </w:pPr>
            <w:r>
              <w:rPr>
                <w:rFonts w:hint="eastAsia"/>
              </w:rPr>
              <w:t>（2）中选人在收到中选通知书后，无正当理由不与比选人订立合同，在签订合同时向比选人提出附加条件或未按比选文件规定提交履约保证金，比选人将取消其中选资格，不予退还其比选保证金。给比选人造成的损失超过比选保证金数额的，中选人还应对超过部分予以赔偿。同时上报相关部门；</w:t>
            </w:r>
          </w:p>
          <w:p w14:paraId="538BAD80">
            <w:pPr>
              <w:pStyle w:val="30"/>
            </w:pPr>
            <w:r>
              <w:rPr>
                <w:rFonts w:hint="eastAsia"/>
              </w:rPr>
              <w:t>（3）合同协议书签订后，中选人放弃合同，比选人将不退还中选人履约保证金；给比选人造成的损失超过履约保证金数额的，中选人还应对超过部分予以赔偿。同时上报相关部门并承担相应的法律责任。</w:t>
            </w:r>
          </w:p>
        </w:tc>
      </w:tr>
    </w:tbl>
    <w:p w14:paraId="65657A58">
      <w:r>
        <w:rPr>
          <w:rFonts w:hint="eastAsia"/>
        </w:rPr>
        <w:br w:type="page"/>
      </w:r>
    </w:p>
    <w:p w14:paraId="66347787">
      <w:pPr>
        <w:pStyle w:val="27"/>
        <w:jc w:val="center"/>
        <w:rPr>
          <w:rFonts w:hint="default"/>
        </w:rPr>
      </w:pPr>
      <w:r>
        <w:t>附录1 资格审查条件（资质最低要求）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8536"/>
      </w:tblGrid>
      <w:tr w14:paraId="1BDC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04" w:type="dxa"/>
            <w:vAlign w:val="center"/>
          </w:tcPr>
          <w:p w14:paraId="58DEBC2A">
            <w:pPr>
              <w:pStyle w:val="28"/>
              <w:rPr>
                <w:rFonts w:hint="default"/>
              </w:rPr>
            </w:pPr>
            <w:r>
              <w:t>标段</w:t>
            </w:r>
          </w:p>
        </w:tc>
        <w:tc>
          <w:tcPr>
            <w:tcW w:w="8536" w:type="dxa"/>
            <w:vAlign w:val="center"/>
          </w:tcPr>
          <w:p w14:paraId="1697CE81">
            <w:pPr>
              <w:pStyle w:val="28"/>
              <w:rPr>
                <w:rFonts w:hint="default"/>
              </w:rPr>
            </w:pPr>
            <w:r>
              <w:t>资质要求</w:t>
            </w:r>
          </w:p>
        </w:tc>
      </w:tr>
      <w:tr w14:paraId="23EA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4" w:type="dxa"/>
            <w:vAlign w:val="center"/>
          </w:tcPr>
          <w:p w14:paraId="4BF1FD03">
            <w:pPr>
              <w:pStyle w:val="29"/>
            </w:pPr>
            <w:bookmarkStart w:id="7" w:name="_Toc342860643"/>
            <w:bookmarkStart w:id="8" w:name="_Toc339616101"/>
            <w:r>
              <w:rPr>
                <w:rFonts w:hint="eastAsia"/>
              </w:rPr>
              <w:t>XQSY</w:t>
            </w:r>
          </w:p>
        </w:tc>
        <w:tc>
          <w:tcPr>
            <w:tcW w:w="8536" w:type="dxa"/>
            <w:shd w:val="clear" w:color="auto" w:fill="auto"/>
          </w:tcPr>
          <w:p w14:paraId="3B0D7F4E">
            <w:pPr>
              <w:pStyle w:val="30"/>
            </w:pPr>
            <w:r>
              <w:rPr>
                <w:rFonts w:hint="eastAsia"/>
              </w:rPr>
              <w:t>（1）具有独立法人资格，持有有效营业执照、基本账户开户许可证或基本存款账户信息表。</w:t>
            </w:r>
          </w:p>
          <w:p w14:paraId="458E5EA4">
            <w:pPr>
              <w:pStyle w:val="30"/>
            </w:pPr>
            <w:r>
              <w:rPr>
                <w:rFonts w:hint="eastAsia"/>
              </w:rPr>
              <w:t>（2）具有交通主管部门颁发的公路工程试验检测机构综合乙级资质，并具有市场监管或技术监督部门颁发的检验检测机构资质认定证书。</w:t>
            </w:r>
          </w:p>
        </w:tc>
      </w:tr>
    </w:tbl>
    <w:p w14:paraId="155C1C1D">
      <w:pPr>
        <w:pStyle w:val="27"/>
        <w:jc w:val="both"/>
        <w:rPr>
          <w:rFonts w:hint="default"/>
        </w:rPr>
      </w:pPr>
    </w:p>
    <w:p w14:paraId="009072A7">
      <w:pPr>
        <w:pStyle w:val="27"/>
        <w:jc w:val="center"/>
        <w:rPr>
          <w:rFonts w:hint="default"/>
        </w:rPr>
      </w:pPr>
      <w:r>
        <w:t>附录2 资格审查条件（业绩最低要求）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8564"/>
      </w:tblGrid>
      <w:tr w14:paraId="1A68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76" w:type="dxa"/>
            <w:vAlign w:val="center"/>
          </w:tcPr>
          <w:p w14:paraId="40CC8A0E">
            <w:pPr>
              <w:pStyle w:val="28"/>
              <w:rPr>
                <w:rFonts w:hint="default"/>
              </w:rPr>
            </w:pPr>
            <w:r>
              <w:t>标段</w:t>
            </w:r>
          </w:p>
        </w:tc>
        <w:tc>
          <w:tcPr>
            <w:tcW w:w="8564" w:type="dxa"/>
            <w:vAlign w:val="center"/>
          </w:tcPr>
          <w:p w14:paraId="67E3E3F2">
            <w:pPr>
              <w:pStyle w:val="28"/>
              <w:rPr>
                <w:rFonts w:hint="default"/>
              </w:rPr>
            </w:pPr>
            <w:r>
              <w:t>业绩要求</w:t>
            </w:r>
          </w:p>
        </w:tc>
      </w:tr>
      <w:tr w14:paraId="7E0A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76" w:type="dxa"/>
            <w:vAlign w:val="center"/>
          </w:tcPr>
          <w:p w14:paraId="119C44D3">
            <w:pPr>
              <w:pStyle w:val="29"/>
            </w:pPr>
            <w:bookmarkStart w:id="9" w:name="_Toc496658005"/>
            <w:bookmarkStart w:id="10" w:name="_Toc509481756"/>
            <w:bookmarkStart w:id="11" w:name="_Toc509847607"/>
            <w:bookmarkStart w:id="12" w:name="_Toc508711588"/>
            <w:bookmarkStart w:id="13" w:name="_Toc339616104"/>
            <w:bookmarkStart w:id="14" w:name="_Toc342860646"/>
            <w:r>
              <w:rPr>
                <w:rFonts w:hint="eastAsia"/>
              </w:rPr>
              <w:t>XQSY</w:t>
            </w:r>
          </w:p>
        </w:tc>
        <w:tc>
          <w:tcPr>
            <w:tcW w:w="8564" w:type="dxa"/>
          </w:tcPr>
          <w:p w14:paraId="7907AC1D">
            <w:pPr>
              <w:pStyle w:val="30"/>
            </w:pPr>
            <w:r>
              <w:rPr>
                <w:rFonts w:hint="eastAsia"/>
              </w:rPr>
              <w:t>近5年（自2019年9月1日起至今，以项目交工验收时间为准），至少独立完成1个国内新建或改扩建高速公路路基土建工程施工项目监理试验室业绩。</w:t>
            </w:r>
          </w:p>
          <w:p w14:paraId="5A13E080">
            <w:pPr>
              <w:pStyle w:val="30"/>
            </w:pPr>
            <w:r>
              <w:rPr>
                <w:rFonts w:hint="eastAsia"/>
              </w:rPr>
              <w:t>注：业绩要求中“路基土建工程”应至少包含“路基工程、桥梁工程或路基工程、隧道工程”的项目。</w:t>
            </w:r>
          </w:p>
        </w:tc>
      </w:tr>
      <w:bookmarkEnd w:id="7"/>
      <w:bookmarkEnd w:id="8"/>
    </w:tbl>
    <w:p w14:paraId="338E142F">
      <w:pPr>
        <w:pStyle w:val="27"/>
        <w:jc w:val="center"/>
        <w:rPr>
          <w:rFonts w:hint="default"/>
        </w:rPr>
      </w:pPr>
    </w:p>
    <w:p w14:paraId="1C2CFAAD">
      <w:pPr>
        <w:pStyle w:val="27"/>
        <w:jc w:val="center"/>
        <w:rPr>
          <w:rFonts w:hint="default"/>
        </w:rPr>
      </w:pPr>
      <w:r>
        <w:t>附录3 资格审查条件（主要人员资格最低要求）</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307"/>
        <w:gridCol w:w="917"/>
        <w:gridCol w:w="3407"/>
        <w:gridCol w:w="3407"/>
      </w:tblGrid>
      <w:tr w14:paraId="4CDD98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900" w:type="dxa"/>
            <w:tcBorders>
              <w:right w:val="single" w:color="auto" w:sz="4" w:space="0"/>
            </w:tcBorders>
            <w:vAlign w:val="center"/>
          </w:tcPr>
          <w:p w14:paraId="54507413">
            <w:pPr>
              <w:pStyle w:val="28"/>
              <w:rPr>
                <w:rFonts w:hint="default"/>
              </w:rPr>
            </w:pPr>
            <w:r>
              <w:t>标段</w:t>
            </w:r>
          </w:p>
        </w:tc>
        <w:tc>
          <w:tcPr>
            <w:tcW w:w="1307" w:type="dxa"/>
            <w:tcBorders>
              <w:left w:val="single" w:color="auto" w:sz="4" w:space="0"/>
            </w:tcBorders>
            <w:vAlign w:val="center"/>
          </w:tcPr>
          <w:p w14:paraId="2019A301">
            <w:pPr>
              <w:pStyle w:val="28"/>
              <w:rPr>
                <w:rFonts w:hint="default"/>
              </w:rPr>
            </w:pPr>
            <w:r>
              <w:t>人员</w:t>
            </w:r>
          </w:p>
        </w:tc>
        <w:tc>
          <w:tcPr>
            <w:tcW w:w="917" w:type="dxa"/>
            <w:vAlign w:val="center"/>
          </w:tcPr>
          <w:p w14:paraId="18FD2FB0">
            <w:pPr>
              <w:pStyle w:val="28"/>
              <w:rPr>
                <w:rFonts w:hint="default"/>
              </w:rPr>
            </w:pPr>
            <w:r>
              <w:t>数量</w:t>
            </w:r>
          </w:p>
        </w:tc>
        <w:tc>
          <w:tcPr>
            <w:tcW w:w="3407" w:type="dxa"/>
          </w:tcPr>
          <w:p w14:paraId="13DC027E">
            <w:pPr>
              <w:tabs>
                <w:tab w:val="left" w:pos="125"/>
              </w:tabs>
              <w:spacing w:before="134" w:line="366" w:lineRule="auto"/>
              <w:jc w:val="center"/>
            </w:pPr>
            <w:r>
              <w:rPr>
                <w:rFonts w:hint="eastAsia"/>
              </w:rPr>
              <w:t>基本要求</w:t>
            </w:r>
          </w:p>
        </w:tc>
        <w:tc>
          <w:tcPr>
            <w:tcW w:w="3407" w:type="dxa"/>
          </w:tcPr>
          <w:p w14:paraId="0163F68F">
            <w:pPr>
              <w:tabs>
                <w:tab w:val="left" w:pos="125"/>
              </w:tabs>
              <w:spacing w:before="134" w:line="366" w:lineRule="auto"/>
              <w:jc w:val="center"/>
            </w:pPr>
            <w:r>
              <w:rPr>
                <w:rFonts w:hint="eastAsia"/>
              </w:rPr>
              <w:t>在岗情况</w:t>
            </w:r>
          </w:p>
        </w:tc>
      </w:tr>
      <w:tr w14:paraId="2193FC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900" w:type="dxa"/>
            <w:tcBorders>
              <w:right w:val="single" w:color="auto" w:sz="4" w:space="0"/>
            </w:tcBorders>
            <w:vAlign w:val="center"/>
          </w:tcPr>
          <w:p w14:paraId="79260745">
            <w:pPr>
              <w:pStyle w:val="29"/>
            </w:pPr>
            <w:r>
              <w:rPr>
                <w:rFonts w:hint="eastAsia"/>
              </w:rPr>
              <w:t>XQSY</w:t>
            </w:r>
          </w:p>
        </w:tc>
        <w:tc>
          <w:tcPr>
            <w:tcW w:w="1307" w:type="dxa"/>
            <w:tcBorders>
              <w:left w:val="single" w:color="auto" w:sz="4" w:space="0"/>
            </w:tcBorders>
          </w:tcPr>
          <w:p w14:paraId="295264AD">
            <w:pPr>
              <w:pStyle w:val="29"/>
            </w:pPr>
          </w:p>
          <w:p w14:paraId="11F2D06F">
            <w:pPr>
              <w:pStyle w:val="29"/>
            </w:pPr>
          </w:p>
          <w:p w14:paraId="3D86C507">
            <w:pPr>
              <w:pStyle w:val="29"/>
            </w:pPr>
          </w:p>
          <w:p w14:paraId="58467D07">
            <w:pPr>
              <w:pStyle w:val="29"/>
            </w:pPr>
          </w:p>
          <w:p w14:paraId="6935BC6E">
            <w:pPr>
              <w:pStyle w:val="29"/>
            </w:pPr>
            <w:r>
              <w:rPr>
                <w:rFonts w:hint="eastAsia"/>
              </w:rPr>
              <w:t>试验室主任</w:t>
            </w:r>
          </w:p>
        </w:tc>
        <w:tc>
          <w:tcPr>
            <w:tcW w:w="917" w:type="dxa"/>
          </w:tcPr>
          <w:p w14:paraId="690527D7">
            <w:pPr>
              <w:pStyle w:val="29"/>
            </w:pPr>
          </w:p>
          <w:p w14:paraId="54721C61">
            <w:pPr>
              <w:pStyle w:val="29"/>
            </w:pPr>
          </w:p>
          <w:p w14:paraId="357F1C98">
            <w:pPr>
              <w:pStyle w:val="29"/>
            </w:pPr>
          </w:p>
          <w:p w14:paraId="2A093157">
            <w:pPr>
              <w:pStyle w:val="29"/>
            </w:pPr>
          </w:p>
          <w:p w14:paraId="12F71684">
            <w:pPr>
              <w:pStyle w:val="29"/>
            </w:pPr>
            <w:r>
              <w:rPr>
                <w:rFonts w:hint="eastAsia"/>
              </w:rPr>
              <w:t>1</w:t>
            </w:r>
          </w:p>
        </w:tc>
        <w:tc>
          <w:tcPr>
            <w:tcW w:w="3407" w:type="dxa"/>
          </w:tcPr>
          <w:p w14:paraId="41F68DF1">
            <w:pPr>
              <w:pStyle w:val="30"/>
            </w:pPr>
            <w:r>
              <w:rPr>
                <w:rFonts w:hint="eastAsia"/>
              </w:rPr>
              <w:t>①具有中级及以上职称；</w:t>
            </w:r>
          </w:p>
          <w:p w14:paraId="4A2CA4FC">
            <w:pPr>
              <w:pStyle w:val="30"/>
            </w:pPr>
            <w:r>
              <w:rPr>
                <w:rFonts w:hint="eastAsia"/>
              </w:rPr>
              <w:t>②具有交通运输相关部门颁发的公路工程试验检测工程师或（公路）检师或公路水运工程试验检测师资格证书；</w:t>
            </w:r>
          </w:p>
          <w:p w14:paraId="4B3AA67D">
            <w:pPr>
              <w:pStyle w:val="30"/>
            </w:pPr>
            <w:r>
              <w:rPr>
                <w:rFonts w:hint="eastAsia"/>
              </w:rPr>
              <w:t>③比选申请截止日起上月或上上月前连续6个月在该比选申请人单位的养老保险缴纳凭证或社保部门出具的在该比选申请人单位参保的证明。</w:t>
            </w:r>
          </w:p>
        </w:tc>
        <w:tc>
          <w:tcPr>
            <w:tcW w:w="3407" w:type="dxa"/>
          </w:tcPr>
          <w:p w14:paraId="67554AC9">
            <w:pPr>
              <w:pStyle w:val="30"/>
            </w:pPr>
          </w:p>
          <w:p w14:paraId="32F80C07">
            <w:pPr>
              <w:pStyle w:val="30"/>
            </w:pPr>
          </w:p>
          <w:p w14:paraId="391D8E1A">
            <w:pPr>
              <w:pStyle w:val="30"/>
            </w:pPr>
          </w:p>
          <w:p w14:paraId="6A218534">
            <w:pPr>
              <w:pStyle w:val="30"/>
            </w:pPr>
            <w:r>
              <w:rPr>
                <w:rFonts w:hint="eastAsia"/>
              </w:rPr>
              <w:t>无在岗项目（指目前未在其他项目上任职，或虽在其他项目上任职但本项目中选后能够从该项目撤离）</w:t>
            </w:r>
          </w:p>
        </w:tc>
      </w:tr>
    </w:tbl>
    <w:p w14:paraId="12D7C7F9">
      <w:pPr>
        <w:pStyle w:val="27"/>
        <w:jc w:val="center"/>
        <w:rPr>
          <w:rFonts w:hint="default"/>
        </w:rPr>
      </w:pPr>
    </w:p>
    <w:p w14:paraId="7DAED91D">
      <w:r>
        <w:rPr>
          <w:rFonts w:hint="eastAsia"/>
        </w:rPr>
        <w:br w:type="page"/>
      </w:r>
    </w:p>
    <w:p w14:paraId="7D6CF18B">
      <w:pPr>
        <w:pStyle w:val="27"/>
        <w:jc w:val="center"/>
        <w:rPr>
          <w:rFonts w:hint="default"/>
        </w:rPr>
      </w:pPr>
      <w:r>
        <w:t>附录4资格审查条件（信誉最低要求）</w:t>
      </w:r>
      <w:bookmarkEnd w:id="9"/>
      <w:bookmarkEnd w:id="10"/>
      <w:bookmarkEnd w:id="11"/>
      <w:bookmarkEnd w:id="12"/>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600"/>
      </w:tblGrid>
      <w:tr w14:paraId="2299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40" w:type="dxa"/>
            <w:vAlign w:val="center"/>
          </w:tcPr>
          <w:p w14:paraId="0AE8A86F">
            <w:pPr>
              <w:pStyle w:val="28"/>
              <w:rPr>
                <w:rFonts w:hint="default"/>
              </w:rPr>
            </w:pPr>
            <w:r>
              <w:t>标段</w:t>
            </w:r>
          </w:p>
        </w:tc>
        <w:tc>
          <w:tcPr>
            <w:tcW w:w="8600" w:type="dxa"/>
            <w:vAlign w:val="center"/>
          </w:tcPr>
          <w:p w14:paraId="281217DC">
            <w:pPr>
              <w:pStyle w:val="28"/>
              <w:rPr>
                <w:rFonts w:hint="default"/>
              </w:rPr>
            </w:pPr>
            <w:r>
              <w:t>信誉要求</w:t>
            </w:r>
          </w:p>
        </w:tc>
      </w:tr>
      <w:tr w14:paraId="078A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40" w:type="dxa"/>
            <w:vAlign w:val="center"/>
          </w:tcPr>
          <w:p w14:paraId="1B3FD5CB">
            <w:pPr>
              <w:pStyle w:val="29"/>
            </w:pPr>
            <w:r>
              <w:rPr>
                <w:rFonts w:hint="eastAsia"/>
              </w:rPr>
              <w:t>XQSY</w:t>
            </w:r>
          </w:p>
        </w:tc>
        <w:tc>
          <w:tcPr>
            <w:tcW w:w="8600" w:type="dxa"/>
            <w:vAlign w:val="center"/>
          </w:tcPr>
          <w:p w14:paraId="53A12418">
            <w:pPr>
              <w:pStyle w:val="30"/>
            </w:pPr>
            <w:r>
              <w:rPr>
                <w:rFonts w:hint="eastAsia"/>
              </w:rPr>
              <w:t>（1）在四川省交通运输厅网站公布的四川省重点公路建设从业单位信用评价等级为 C 级及以上，且不得处于禁止比选申请行政处罚期内。</w:t>
            </w:r>
          </w:p>
          <w:p w14:paraId="0EACE554">
            <w:pPr>
              <w:pStyle w:val="30"/>
            </w:pPr>
            <w:r>
              <w:rPr>
                <w:rFonts w:hint="eastAsia"/>
              </w:rPr>
              <w:t>（2）在国家企业信用信息公示系统（http：//www.gsxt.gov.cn/）中被列入严重违法失信企业名单，不得参加比选申请。（事业单位除外）。</w:t>
            </w:r>
          </w:p>
          <w:p w14:paraId="7F549264">
            <w:pPr>
              <w:pStyle w:val="30"/>
            </w:pPr>
            <w:r>
              <w:rPr>
                <w:rFonts w:hint="eastAsia"/>
              </w:rPr>
              <w:t>（3）对通过“信用中国”网站（http://www.creditchina.gov.cn/） 查询“失信被执行 人 ” 链 接 “ 中 国 执 行 信 息 公 开 网（http://zxgk.court.gov.cn/shixin/）”中列为失信被执行人的比选申请人，不得参加比选申请。</w:t>
            </w:r>
          </w:p>
          <w:p w14:paraId="7C7B1467">
            <w:pPr>
              <w:pStyle w:val="30"/>
            </w:pPr>
            <w:r>
              <w:rPr>
                <w:rFonts w:hint="eastAsia"/>
              </w:rPr>
              <w:t>（4）在 2021年 9月 1 日至本项目比选申请截止日期间，比选申请人（单位）、法定代表人、试验室主任被人民法院生效判决为行贿犯罪的，不得参加比选申请。</w:t>
            </w:r>
          </w:p>
          <w:p w14:paraId="234FEC65">
            <w:pPr>
              <w:pStyle w:val="30"/>
            </w:pPr>
            <w:r>
              <w:rPr>
                <w:rFonts w:hint="eastAsia"/>
              </w:rPr>
              <w:t>注：在四川省重点公路建设从业单位信用评价等级，在国家企业信用信息公示系统是否列入严重违法失信企业名单，在“信用中国”网站是否列入失信被执行人名单均以比选人在上述网站核查的比选申请截止时间比选申请人信息内容为准。</w:t>
            </w:r>
          </w:p>
        </w:tc>
      </w:tr>
      <w:bookmarkEnd w:id="13"/>
      <w:bookmarkEnd w:id="14"/>
    </w:tbl>
    <w:p w14:paraId="118B1BEB">
      <w:pPr>
        <w:pStyle w:val="30"/>
        <w:sectPr>
          <w:footerReference r:id="rId10" w:type="default"/>
          <w:pgSz w:w="11906" w:h="16840"/>
          <w:pgMar w:top="1060" w:right="920" w:bottom="1040" w:left="1260" w:header="878" w:footer="855" w:gutter="0"/>
          <w:cols w:space="425" w:num="1"/>
        </w:sectPr>
      </w:pPr>
    </w:p>
    <w:p w14:paraId="5343B6D9">
      <w:pPr>
        <w:pStyle w:val="6"/>
        <w:rPr>
          <w:lang w:val="zh-CN"/>
        </w:rPr>
      </w:pPr>
      <w:r>
        <w:rPr>
          <w:rFonts w:hint="eastAsia"/>
        </w:rPr>
        <w:t>二</w:t>
      </w:r>
      <w:r>
        <w:rPr>
          <w:rFonts w:hint="eastAsia"/>
          <w:lang w:val="zh-CN"/>
        </w:rPr>
        <w:t>、比选申请人须知（</w:t>
      </w:r>
      <w:r>
        <w:rPr>
          <w:rFonts w:hint="eastAsia"/>
        </w:rPr>
        <w:t>正文</w:t>
      </w:r>
      <w:r>
        <w:rPr>
          <w:rFonts w:hint="eastAsia"/>
          <w:lang w:val="zh-CN"/>
        </w:rPr>
        <w:t>）</w:t>
      </w:r>
    </w:p>
    <w:p w14:paraId="04E7EFA4">
      <w:pPr>
        <w:pStyle w:val="26"/>
        <w:ind w:firstLine="480"/>
        <w:rPr>
          <w:rFonts w:hint="default"/>
        </w:rPr>
      </w:pPr>
      <w:r>
        <w:t>1.总则</w:t>
      </w:r>
    </w:p>
    <w:p w14:paraId="0204076B">
      <w:pPr>
        <w:pStyle w:val="26"/>
        <w:ind w:firstLine="480"/>
        <w:rPr>
          <w:rFonts w:hint="default"/>
        </w:rPr>
      </w:pPr>
      <w:r>
        <w:t>1.1项目概况</w:t>
      </w:r>
    </w:p>
    <w:p w14:paraId="690D608B">
      <w:pPr>
        <w:pStyle w:val="26"/>
        <w:ind w:firstLine="480"/>
        <w:rPr>
          <w:rFonts w:hint="default"/>
        </w:rPr>
      </w:pPr>
      <w:r>
        <w:t>1.1.1根据《中华人民共和国招标投标法》、《中华人民共和国招标投标法实施条例》等有关法律、法规和规章的规定，本比选项目已具备比选条件，现进行公开比选。</w:t>
      </w:r>
    </w:p>
    <w:p w14:paraId="07631EA4">
      <w:pPr>
        <w:pStyle w:val="26"/>
        <w:ind w:firstLine="480"/>
        <w:rPr>
          <w:rFonts w:hint="default"/>
        </w:rPr>
      </w:pPr>
      <w:r>
        <w:t>1.1.2本比选项目比选人：见比选申请人须知前附表。</w:t>
      </w:r>
    </w:p>
    <w:p w14:paraId="4541CD28">
      <w:pPr>
        <w:pStyle w:val="26"/>
        <w:ind w:firstLine="480"/>
        <w:rPr>
          <w:rFonts w:hint="default"/>
        </w:rPr>
      </w:pPr>
      <w:r>
        <w:t>1.1.3本标段比选代理机构：见比选申请人须知前附表。</w:t>
      </w:r>
    </w:p>
    <w:p w14:paraId="7C0B58C5">
      <w:pPr>
        <w:pStyle w:val="26"/>
        <w:ind w:firstLine="480"/>
        <w:rPr>
          <w:rFonts w:hint="default"/>
        </w:rPr>
      </w:pPr>
      <w:r>
        <w:t>1.1.4本比选项目名称：见比选申请人须知前附表。</w:t>
      </w:r>
    </w:p>
    <w:p w14:paraId="2D1E6562">
      <w:pPr>
        <w:pStyle w:val="26"/>
        <w:ind w:firstLine="480"/>
        <w:rPr>
          <w:rFonts w:hint="default"/>
        </w:rPr>
      </w:pPr>
      <w:r>
        <w:t>1.1.5本标段服务地点：见比选申请人须知前附表。</w:t>
      </w:r>
    </w:p>
    <w:p w14:paraId="411774BD">
      <w:pPr>
        <w:pStyle w:val="26"/>
        <w:ind w:firstLine="480"/>
        <w:rPr>
          <w:rFonts w:hint="default"/>
        </w:rPr>
      </w:pPr>
      <w:r>
        <w:t>1.1.6本标段项目规模：见比选申请人须知前附表。</w:t>
      </w:r>
    </w:p>
    <w:p w14:paraId="17128804">
      <w:pPr>
        <w:pStyle w:val="26"/>
        <w:ind w:firstLine="480"/>
        <w:rPr>
          <w:rFonts w:hint="default"/>
        </w:rPr>
      </w:pPr>
      <w:r>
        <w:t>1.1.7本标段投资估算：见比选申请人须知前附表。</w:t>
      </w:r>
    </w:p>
    <w:p w14:paraId="5B0A181B">
      <w:pPr>
        <w:pStyle w:val="26"/>
        <w:ind w:firstLine="480"/>
        <w:rPr>
          <w:rFonts w:hint="default"/>
        </w:rPr>
      </w:pPr>
      <w:r>
        <w:t>1.2比选项目的资金来源和落实情况</w:t>
      </w:r>
    </w:p>
    <w:p w14:paraId="53653A47">
      <w:pPr>
        <w:pStyle w:val="26"/>
        <w:ind w:firstLine="480"/>
        <w:rPr>
          <w:rFonts w:hint="default"/>
        </w:rPr>
      </w:pPr>
      <w:r>
        <w:t>1.2.1资金来源及比例：见比选申请人须知前附表。</w:t>
      </w:r>
    </w:p>
    <w:p w14:paraId="3AB2049E">
      <w:pPr>
        <w:pStyle w:val="26"/>
        <w:ind w:firstLine="480"/>
        <w:rPr>
          <w:rFonts w:hint="default"/>
        </w:rPr>
      </w:pPr>
      <w:r>
        <w:t>1.2.2资金落实情况：见比选申请人须知前附表。</w:t>
      </w:r>
    </w:p>
    <w:p w14:paraId="60779D22">
      <w:pPr>
        <w:pStyle w:val="26"/>
        <w:ind w:firstLine="480"/>
        <w:rPr>
          <w:rFonts w:hint="default"/>
        </w:rPr>
      </w:pPr>
      <w:r>
        <w:t>1.3比选范围、服务期限、质量和安全目标要求</w:t>
      </w:r>
    </w:p>
    <w:p w14:paraId="7D40D1B0">
      <w:pPr>
        <w:pStyle w:val="26"/>
        <w:ind w:firstLine="480"/>
        <w:rPr>
          <w:rFonts w:hint="default"/>
        </w:rPr>
      </w:pPr>
      <w:r>
        <w:t>1.3.1比选范围：见比选申请人须知前附表。</w:t>
      </w:r>
    </w:p>
    <w:p w14:paraId="7C3D0ECE">
      <w:pPr>
        <w:pStyle w:val="26"/>
        <w:ind w:firstLine="480"/>
        <w:rPr>
          <w:rFonts w:hint="default"/>
        </w:rPr>
      </w:pPr>
      <w:r>
        <w:t>1.3.2本标段的服务期限：见比选申请人须知前附表。</w:t>
      </w:r>
    </w:p>
    <w:p w14:paraId="3B118BB4">
      <w:pPr>
        <w:pStyle w:val="26"/>
        <w:ind w:firstLine="480"/>
        <w:rPr>
          <w:rFonts w:hint="default"/>
        </w:rPr>
      </w:pPr>
      <w:r>
        <w:t>1.3.3本标段的质量要求：见比选申请人须知前附表。</w:t>
      </w:r>
    </w:p>
    <w:p w14:paraId="61887A87">
      <w:pPr>
        <w:pStyle w:val="26"/>
        <w:ind w:firstLine="480"/>
        <w:rPr>
          <w:rFonts w:hint="default"/>
        </w:rPr>
      </w:pPr>
      <w:r>
        <w:t>1.3.4本标段的安全目标：见比选申请人须知前附表。</w:t>
      </w:r>
    </w:p>
    <w:p w14:paraId="6CCEEA61">
      <w:pPr>
        <w:pStyle w:val="26"/>
        <w:ind w:firstLine="480"/>
        <w:rPr>
          <w:rFonts w:hint="default"/>
        </w:rPr>
      </w:pPr>
      <w:r>
        <w:t>1.4比选申请人资格要求</w:t>
      </w:r>
    </w:p>
    <w:p w14:paraId="281C5574">
      <w:pPr>
        <w:pStyle w:val="26"/>
        <w:ind w:firstLine="480"/>
        <w:rPr>
          <w:rFonts w:hint="default"/>
        </w:rPr>
      </w:pPr>
      <w:r>
        <w:t>1.4.1比选申请人应具备承担本标段资质条件、能力和信誉。</w:t>
      </w:r>
    </w:p>
    <w:p w14:paraId="4722CA5F">
      <w:pPr>
        <w:pStyle w:val="26"/>
        <w:ind w:firstLine="480"/>
        <w:rPr>
          <w:rFonts w:hint="default"/>
        </w:rPr>
      </w:pPr>
      <w:r>
        <w:t>（1）资质最低要求：见比选申请人须知前附表；</w:t>
      </w:r>
    </w:p>
    <w:p w14:paraId="25BF0EDD">
      <w:pPr>
        <w:pStyle w:val="26"/>
        <w:ind w:firstLine="480"/>
        <w:rPr>
          <w:rFonts w:hint="default"/>
        </w:rPr>
      </w:pPr>
      <w:r>
        <w:t>（2）业绩最低要求：见比选申请人须知前附表；</w:t>
      </w:r>
    </w:p>
    <w:p w14:paraId="63B9B7E7">
      <w:pPr>
        <w:pStyle w:val="26"/>
        <w:ind w:firstLine="480"/>
        <w:rPr>
          <w:rFonts w:hint="default"/>
        </w:rPr>
      </w:pPr>
      <w:r>
        <w:t>（3）信誉最低要求：见比选申请人须知前附表；</w:t>
      </w:r>
    </w:p>
    <w:p w14:paraId="0C31BF49">
      <w:pPr>
        <w:pStyle w:val="26"/>
        <w:ind w:firstLine="480"/>
        <w:rPr>
          <w:rFonts w:hint="default"/>
        </w:rPr>
      </w:pPr>
      <w:r>
        <w:t>（4）主要人员最低要求：见比选申请人须知前附表；</w:t>
      </w:r>
    </w:p>
    <w:p w14:paraId="3B336BAA">
      <w:pPr>
        <w:pStyle w:val="26"/>
        <w:ind w:firstLine="480"/>
        <w:rPr>
          <w:rFonts w:hint="default"/>
        </w:rPr>
      </w:pPr>
      <w:r>
        <w:t>（5）其他要求：见比选申请人须知前附表。</w:t>
      </w:r>
    </w:p>
    <w:p w14:paraId="7D77D9C9">
      <w:pPr>
        <w:pStyle w:val="26"/>
        <w:ind w:firstLine="480"/>
        <w:rPr>
          <w:rFonts w:hint="default"/>
        </w:rPr>
      </w:pPr>
      <w:r>
        <w:t>需要提交的相关证明材料见本章第3.5款的规定。</w:t>
      </w:r>
    </w:p>
    <w:p w14:paraId="1B872708">
      <w:pPr>
        <w:pStyle w:val="26"/>
        <w:ind w:firstLine="480"/>
        <w:rPr>
          <w:rFonts w:hint="default"/>
        </w:rPr>
      </w:pPr>
      <w:r>
        <w:t>1.4.2本项目不接受联合体比选。</w:t>
      </w:r>
    </w:p>
    <w:p w14:paraId="3017CFBB">
      <w:pPr>
        <w:pStyle w:val="26"/>
        <w:ind w:firstLine="480"/>
        <w:rPr>
          <w:rFonts w:hint="default"/>
        </w:rPr>
      </w:pPr>
      <w:r>
        <w:t>1.4.3比选申请人不得与本标段相关单位存在下列关联情形：</w:t>
      </w:r>
    </w:p>
    <w:p w14:paraId="373E26E0">
      <w:pPr>
        <w:pStyle w:val="26"/>
        <w:ind w:firstLine="480"/>
        <w:rPr>
          <w:rFonts w:hint="default"/>
        </w:rPr>
      </w:pPr>
      <w:r>
        <w:t>（1）为比选人不具有独立法人资格的附属机构（单位）；</w:t>
      </w:r>
    </w:p>
    <w:p w14:paraId="55757C52">
      <w:pPr>
        <w:pStyle w:val="26"/>
        <w:ind w:firstLine="480"/>
        <w:rPr>
          <w:rFonts w:hint="default"/>
        </w:rPr>
      </w:pPr>
      <w:r>
        <w:t>（2）与比选人存在利害关系且可能影响比选公正性；</w:t>
      </w:r>
    </w:p>
    <w:p w14:paraId="30218C92">
      <w:pPr>
        <w:pStyle w:val="26"/>
        <w:ind w:firstLine="480"/>
        <w:rPr>
          <w:rFonts w:hint="default"/>
        </w:rPr>
      </w:pPr>
      <w:r>
        <w:t>（3）与本标段的其他比选申请人同为一个单位负责人；</w:t>
      </w:r>
    </w:p>
    <w:p w14:paraId="411220A7">
      <w:pPr>
        <w:pStyle w:val="26"/>
        <w:ind w:firstLine="480"/>
        <w:rPr>
          <w:rFonts w:hint="default"/>
        </w:rPr>
      </w:pPr>
      <w:r>
        <w:t>（4）与本标段的其他比选申请人存在控股、管理关系；</w:t>
      </w:r>
    </w:p>
    <w:p w14:paraId="798E04F5">
      <w:pPr>
        <w:pStyle w:val="26"/>
        <w:ind w:firstLine="480"/>
        <w:rPr>
          <w:rFonts w:hint="default"/>
        </w:rPr>
      </w:pPr>
      <w:r>
        <w:t>（5）为本标段的代建人；</w:t>
      </w:r>
    </w:p>
    <w:p w14:paraId="4FA0BC3C">
      <w:pPr>
        <w:pStyle w:val="26"/>
        <w:ind w:firstLine="480"/>
        <w:rPr>
          <w:rFonts w:hint="default"/>
        </w:rPr>
      </w:pPr>
      <w:r>
        <w:t>（6）为本标段的比选代理机构；</w:t>
      </w:r>
    </w:p>
    <w:p w14:paraId="2B145563">
      <w:pPr>
        <w:pStyle w:val="26"/>
        <w:ind w:firstLine="480"/>
        <w:rPr>
          <w:rFonts w:hint="default"/>
        </w:rPr>
      </w:pPr>
      <w:r>
        <w:t>（7）与本标段的代建人或比选代理机构同为一个法定代表人；</w:t>
      </w:r>
    </w:p>
    <w:p w14:paraId="1FEEA3A9">
      <w:pPr>
        <w:pStyle w:val="26"/>
        <w:ind w:firstLine="480"/>
        <w:rPr>
          <w:rFonts w:hint="default"/>
        </w:rPr>
      </w:pPr>
      <w:r>
        <w:t>（8）与本标段的代建人或比选代理机构存在控股或参股关系；</w:t>
      </w:r>
    </w:p>
    <w:p w14:paraId="4F565054">
      <w:pPr>
        <w:pStyle w:val="26"/>
        <w:ind w:firstLine="480"/>
        <w:rPr>
          <w:rFonts w:hint="default"/>
        </w:rPr>
      </w:pPr>
      <w:r>
        <w:t>（</w:t>
      </w:r>
      <w:r>
        <w:rPr>
          <w:rFonts w:hint="default"/>
        </w:rPr>
        <w:t>9</w:t>
      </w:r>
      <w:r>
        <w:t>）法律法规或比选申请人须知前附表规定的其他情形。</w:t>
      </w:r>
    </w:p>
    <w:p w14:paraId="1A8D718C">
      <w:pPr>
        <w:pStyle w:val="26"/>
        <w:ind w:firstLine="480"/>
        <w:rPr>
          <w:rFonts w:hint="default"/>
        </w:rPr>
      </w:pPr>
      <w:r>
        <w:t>1.4.4比选申请人不得存在下列不良状况或不良信用记录：</w:t>
      </w:r>
    </w:p>
    <w:p w14:paraId="5E555C4F">
      <w:pPr>
        <w:pStyle w:val="26"/>
        <w:ind w:firstLine="480"/>
        <w:rPr>
          <w:rFonts w:hint="default"/>
        </w:rPr>
      </w:pPr>
      <w:r>
        <w:t>（1）被主管部门取消比选项目所在地的比选资格且处于有效期内；</w:t>
      </w:r>
    </w:p>
    <w:p w14:paraId="7FB6E4D9">
      <w:pPr>
        <w:pStyle w:val="26"/>
        <w:ind w:firstLine="480"/>
        <w:rPr>
          <w:rFonts w:hint="default"/>
        </w:rPr>
      </w:pPr>
      <w:r>
        <w:t>（2）被责令停业，暂扣或吊销执照，或吊销资质证书；</w:t>
      </w:r>
    </w:p>
    <w:p w14:paraId="4D912957">
      <w:pPr>
        <w:pStyle w:val="26"/>
        <w:ind w:firstLine="480"/>
        <w:rPr>
          <w:rFonts w:hint="default"/>
        </w:rPr>
      </w:pPr>
      <w:r>
        <w:t>（3）进入清算程序，或被宣告破产，或其他丧失履约能力的情形；</w:t>
      </w:r>
    </w:p>
    <w:p w14:paraId="50CE1ABC">
      <w:pPr>
        <w:pStyle w:val="26"/>
        <w:ind w:firstLine="480"/>
        <w:rPr>
          <w:rFonts w:hint="default"/>
        </w:rPr>
      </w:pPr>
      <w:r>
        <w:t>（4）在国家企业信用信息公示系统（http://www.gsxt.gov.cn/）中被列入严重违法失信企业名单；</w:t>
      </w:r>
    </w:p>
    <w:p w14:paraId="2B8BC9F2">
      <w:pPr>
        <w:pStyle w:val="26"/>
        <w:ind w:firstLine="480"/>
        <w:rPr>
          <w:rFonts w:hint="default"/>
        </w:rPr>
      </w:pPr>
      <w:r>
        <w:t>（5）在“信用中国”网站（http://www.creditchina.gov.cn/）查询“失信被执行人”链接中国执行信息公开网（http：//zxgk.court.gov.cn/shixin/）中被列入失信被执行人名单；</w:t>
      </w:r>
    </w:p>
    <w:p w14:paraId="11BCAD32">
      <w:pPr>
        <w:pStyle w:val="26"/>
        <w:ind w:firstLine="480"/>
        <w:rPr>
          <w:rFonts w:hint="default"/>
        </w:rPr>
      </w:pPr>
      <w:r>
        <w:t>（6）比选申请人（单位）、法定代表人、拟委任的试验室主任被人民法院生效判决或裁定认定为行贿犯罪；</w:t>
      </w:r>
    </w:p>
    <w:p w14:paraId="1EE6AC7E">
      <w:pPr>
        <w:pStyle w:val="26"/>
        <w:ind w:firstLine="480"/>
        <w:rPr>
          <w:rFonts w:hint="default"/>
        </w:rPr>
      </w:pPr>
      <w:r>
        <w:t>（7）法律法规或比选申请人须知前附表规定的其他情形。</w:t>
      </w:r>
    </w:p>
    <w:p w14:paraId="54346F08">
      <w:pPr>
        <w:pStyle w:val="26"/>
        <w:ind w:firstLine="480"/>
        <w:rPr>
          <w:rFonts w:hint="default"/>
        </w:rPr>
      </w:pPr>
      <w:r>
        <w:t>1.5费用承担</w:t>
      </w:r>
    </w:p>
    <w:p w14:paraId="4CDA90E3">
      <w:pPr>
        <w:pStyle w:val="26"/>
        <w:ind w:firstLine="480"/>
        <w:rPr>
          <w:rFonts w:hint="default"/>
        </w:rPr>
      </w:pPr>
      <w:r>
        <w:t>比选申请人准备和参加比选活动发生的费用自理。</w:t>
      </w:r>
    </w:p>
    <w:p w14:paraId="428221D6">
      <w:pPr>
        <w:pStyle w:val="26"/>
        <w:ind w:firstLine="480"/>
        <w:rPr>
          <w:rFonts w:hint="default"/>
        </w:rPr>
      </w:pPr>
      <w:r>
        <w:t>1.6保密</w:t>
      </w:r>
    </w:p>
    <w:p w14:paraId="3D8F9F4B">
      <w:pPr>
        <w:pStyle w:val="26"/>
        <w:ind w:firstLine="480"/>
        <w:rPr>
          <w:rFonts w:hint="default"/>
        </w:rPr>
      </w:pPr>
      <w:r>
        <w:t>参与比选活动的各方应对比选文件和比选申请文件中的商业和技术等秘密保密，否则应承担相应的法律责任。</w:t>
      </w:r>
    </w:p>
    <w:p w14:paraId="196FB7CB">
      <w:pPr>
        <w:pStyle w:val="26"/>
        <w:ind w:firstLine="480"/>
        <w:rPr>
          <w:rFonts w:hint="default"/>
        </w:rPr>
      </w:pPr>
      <w:r>
        <w:t>1.7语言文字</w:t>
      </w:r>
    </w:p>
    <w:p w14:paraId="0D9F4B81">
      <w:pPr>
        <w:pStyle w:val="26"/>
        <w:ind w:firstLine="480"/>
        <w:rPr>
          <w:rFonts w:hint="default"/>
        </w:rPr>
      </w:pPr>
      <w:r>
        <w:t>比选申请文件使用的语言文字为中文。专用术语使用外文的，应附有中文注释。</w:t>
      </w:r>
    </w:p>
    <w:p w14:paraId="202B672F">
      <w:pPr>
        <w:pStyle w:val="26"/>
        <w:ind w:firstLine="480"/>
        <w:rPr>
          <w:rFonts w:hint="default"/>
        </w:rPr>
      </w:pPr>
      <w:r>
        <w:t>1.8计量单位</w:t>
      </w:r>
    </w:p>
    <w:p w14:paraId="3DDFB1C5">
      <w:pPr>
        <w:pStyle w:val="26"/>
        <w:ind w:firstLine="480"/>
        <w:rPr>
          <w:rFonts w:hint="default"/>
        </w:rPr>
      </w:pPr>
      <w:r>
        <w:t>所有计量均采用中华人民共和国法定计量单位。</w:t>
      </w:r>
    </w:p>
    <w:p w14:paraId="6682D24A">
      <w:pPr>
        <w:pStyle w:val="26"/>
        <w:ind w:firstLine="480"/>
        <w:rPr>
          <w:rFonts w:hint="default"/>
        </w:rPr>
      </w:pPr>
      <w:r>
        <w:t>1.9踏勘现场</w:t>
      </w:r>
    </w:p>
    <w:p w14:paraId="15F8E716">
      <w:pPr>
        <w:pStyle w:val="26"/>
        <w:ind w:firstLine="480"/>
        <w:rPr>
          <w:rFonts w:hint="default"/>
        </w:rPr>
      </w:pPr>
      <w:r>
        <w:t>1.9.1比选人不组织。</w:t>
      </w:r>
    </w:p>
    <w:p w14:paraId="7A3C696B">
      <w:pPr>
        <w:pStyle w:val="26"/>
        <w:ind w:firstLine="480"/>
        <w:rPr>
          <w:rFonts w:hint="default"/>
        </w:rPr>
      </w:pPr>
      <w:r>
        <w:t>1.10比选预备会</w:t>
      </w:r>
    </w:p>
    <w:p w14:paraId="3495D748">
      <w:pPr>
        <w:pStyle w:val="26"/>
        <w:ind w:firstLine="480"/>
        <w:rPr>
          <w:rFonts w:hint="default"/>
        </w:rPr>
      </w:pPr>
      <w:r>
        <w:t>1.10.1比选人不组织</w:t>
      </w:r>
    </w:p>
    <w:p w14:paraId="4E738888">
      <w:pPr>
        <w:pStyle w:val="26"/>
        <w:ind w:firstLine="480"/>
        <w:rPr>
          <w:rFonts w:hint="default"/>
        </w:rPr>
      </w:pPr>
      <w:r>
        <w:t>1.11分包</w:t>
      </w:r>
    </w:p>
    <w:p w14:paraId="01D7DB8B">
      <w:pPr>
        <w:pStyle w:val="26"/>
        <w:ind w:firstLine="480"/>
        <w:rPr>
          <w:rFonts w:hint="default"/>
        </w:rPr>
      </w:pPr>
      <w:r>
        <w:t>1.11.1本项目不允许分包。</w:t>
      </w:r>
    </w:p>
    <w:p w14:paraId="47041297">
      <w:pPr>
        <w:pStyle w:val="26"/>
        <w:ind w:firstLine="480"/>
        <w:rPr>
          <w:rFonts w:hint="default"/>
        </w:rPr>
      </w:pPr>
      <w:r>
        <w:t>1.12响应和偏差</w:t>
      </w:r>
    </w:p>
    <w:p w14:paraId="1E23A4ED">
      <w:pPr>
        <w:pStyle w:val="26"/>
        <w:ind w:firstLine="480"/>
        <w:rPr>
          <w:rFonts w:hint="default"/>
        </w:rPr>
      </w:pPr>
      <w:r>
        <w:t>1.12.1比选申请文件偏离比选文件某些要求，视为比选申请文件存在偏差。偏差包括重大偏差和细微偏差。</w:t>
      </w:r>
    </w:p>
    <w:p w14:paraId="2FA106B5">
      <w:pPr>
        <w:pStyle w:val="26"/>
        <w:ind w:firstLine="480"/>
        <w:rPr>
          <w:rFonts w:hint="default"/>
        </w:rPr>
      </w:pPr>
      <w:r>
        <w:t>1.12.2比选申请文件应对比选文件的实质性要求和条件作出满足性或更有利于比选人的响应，否则，视为比选申请文件存在重大偏差，比选申请人的比选将被否决。</w:t>
      </w:r>
    </w:p>
    <w:p w14:paraId="6BA176F2">
      <w:pPr>
        <w:pStyle w:val="26"/>
        <w:ind w:firstLine="480"/>
        <w:rPr>
          <w:rFonts w:hint="default"/>
        </w:rPr>
      </w:pPr>
      <w:r>
        <w:t>比选申请文件存在第三章“评选办法”中所列任一否决比选情形的，均属于存在重大偏差。</w:t>
      </w:r>
    </w:p>
    <w:p w14:paraId="4A456E61">
      <w:pPr>
        <w:pStyle w:val="26"/>
        <w:ind w:firstLine="480"/>
        <w:rPr>
          <w:rFonts w:hint="default"/>
        </w:rPr>
      </w:pPr>
      <w:r>
        <w:t>1.12.3比选申请文件中的下列偏差为细微偏差：</w:t>
      </w:r>
    </w:p>
    <w:p w14:paraId="0905D8DB">
      <w:pPr>
        <w:pStyle w:val="26"/>
        <w:ind w:firstLine="480"/>
        <w:rPr>
          <w:rFonts w:hint="default"/>
        </w:rPr>
      </w:pPr>
      <w:r>
        <w:t>（1）在按照第三章“评选办法”的规定对比选价进行算术性错误修正及其他错误修正后，最终比选报价未超过最高比选限价（如有）的情况下，出现第三章“评选办法”规定的算术性错误和比选报价的其他错误；</w:t>
      </w:r>
    </w:p>
    <w:p w14:paraId="76A33CDC">
      <w:pPr>
        <w:pStyle w:val="26"/>
        <w:ind w:firstLine="480"/>
        <w:rPr>
          <w:rFonts w:hint="default"/>
        </w:rPr>
      </w:pPr>
      <w:r>
        <w:t>（2）技术建议书不够完善；</w:t>
      </w:r>
    </w:p>
    <w:p w14:paraId="7B2E7625">
      <w:pPr>
        <w:pStyle w:val="26"/>
        <w:ind w:firstLine="480"/>
        <w:rPr>
          <w:rFonts w:hint="default"/>
        </w:rPr>
      </w:pPr>
      <w:r>
        <w:t>（3）比选申请文件页码不连续、采用活页夹装订、个别文字有遗漏错误等不影响比选申请文件实质性内容的偏差。</w:t>
      </w:r>
    </w:p>
    <w:p w14:paraId="6002AC84">
      <w:pPr>
        <w:pStyle w:val="26"/>
        <w:ind w:firstLine="480"/>
        <w:rPr>
          <w:rFonts w:hint="default"/>
        </w:rPr>
      </w:pPr>
      <w:r>
        <w:t>1.12.4评选委员会对比选申请文件中的细微偏差按如下规定处理：</w:t>
      </w:r>
    </w:p>
    <w:p w14:paraId="231B8C2D">
      <w:pPr>
        <w:pStyle w:val="26"/>
        <w:ind w:firstLine="480"/>
        <w:rPr>
          <w:rFonts w:hint="default"/>
        </w:rPr>
      </w:pPr>
      <w:r>
        <w:t>（1）对于本章第1.12.3项（1）目所述的细微偏差，按照第三章“评选办法”的规定予以修正并要求比选申请人进行澄清；</w:t>
      </w:r>
    </w:p>
    <w:p w14:paraId="7FC66AE3">
      <w:pPr>
        <w:pStyle w:val="26"/>
        <w:ind w:firstLine="480"/>
        <w:rPr>
          <w:rFonts w:hint="default"/>
        </w:rPr>
      </w:pPr>
      <w:r>
        <w:t>（2）对于本章第1.12.3项（2）、（3）所述的细微偏差，可在相关评分因素的评分中酌情扣分。</w:t>
      </w:r>
    </w:p>
    <w:p w14:paraId="2F7BF33B">
      <w:pPr>
        <w:pStyle w:val="26"/>
        <w:ind w:firstLine="480"/>
        <w:rPr>
          <w:rFonts w:hint="default"/>
        </w:rPr>
      </w:pPr>
      <w:r>
        <w:t>1.12.5比选申请人应根据比选文件的要求提供技术建议书等内容以对比选文件作出响应。</w:t>
      </w:r>
    </w:p>
    <w:p w14:paraId="569E1AB7">
      <w:pPr>
        <w:pStyle w:val="26"/>
        <w:ind w:firstLine="480"/>
        <w:rPr>
          <w:rFonts w:hint="default"/>
        </w:rPr>
      </w:pPr>
      <w:r>
        <w:t>2.比选文件</w:t>
      </w:r>
    </w:p>
    <w:p w14:paraId="26617872">
      <w:pPr>
        <w:pStyle w:val="26"/>
        <w:ind w:firstLine="480"/>
        <w:rPr>
          <w:rFonts w:hint="default"/>
        </w:rPr>
      </w:pPr>
      <w:r>
        <w:t>2.1比选文件的组成</w:t>
      </w:r>
    </w:p>
    <w:p w14:paraId="3BAB7925">
      <w:pPr>
        <w:pStyle w:val="26"/>
        <w:ind w:firstLine="480"/>
        <w:rPr>
          <w:rFonts w:hint="default"/>
        </w:rPr>
      </w:pPr>
      <w:r>
        <w:t>本比选文件包括：</w:t>
      </w:r>
    </w:p>
    <w:p w14:paraId="1A6DEA8B">
      <w:pPr>
        <w:pStyle w:val="26"/>
        <w:ind w:firstLine="480"/>
        <w:rPr>
          <w:rFonts w:hint="default"/>
        </w:rPr>
      </w:pPr>
      <w:r>
        <w:t>（1）比选公告；</w:t>
      </w:r>
    </w:p>
    <w:p w14:paraId="11B69758">
      <w:pPr>
        <w:pStyle w:val="26"/>
        <w:ind w:firstLine="480"/>
        <w:rPr>
          <w:rFonts w:hint="default"/>
        </w:rPr>
      </w:pPr>
      <w:r>
        <w:t>（2）比选申请人须知；</w:t>
      </w:r>
    </w:p>
    <w:p w14:paraId="388C7247">
      <w:pPr>
        <w:pStyle w:val="26"/>
        <w:ind w:firstLine="480"/>
        <w:rPr>
          <w:rFonts w:hint="default"/>
        </w:rPr>
      </w:pPr>
      <w:r>
        <w:t>（3）评选办法；</w:t>
      </w:r>
    </w:p>
    <w:p w14:paraId="087CC390">
      <w:pPr>
        <w:pStyle w:val="26"/>
        <w:ind w:firstLine="480"/>
        <w:rPr>
          <w:rFonts w:hint="default"/>
        </w:rPr>
      </w:pPr>
      <w:r>
        <w:t>（4）合同条款及格式；</w:t>
      </w:r>
    </w:p>
    <w:p w14:paraId="6B8F6C50">
      <w:pPr>
        <w:pStyle w:val="26"/>
        <w:ind w:firstLine="480"/>
        <w:rPr>
          <w:rFonts w:hint="default"/>
        </w:rPr>
      </w:pPr>
      <w:r>
        <w:t>（5）发包人要求（若有）；</w:t>
      </w:r>
    </w:p>
    <w:p w14:paraId="4F6FAD65">
      <w:pPr>
        <w:pStyle w:val="26"/>
        <w:ind w:firstLine="480"/>
        <w:rPr>
          <w:rFonts w:hint="default"/>
        </w:rPr>
      </w:pPr>
      <w:r>
        <w:t>（6）比选申请文件格式。</w:t>
      </w:r>
    </w:p>
    <w:p w14:paraId="61A7AA01">
      <w:pPr>
        <w:pStyle w:val="26"/>
        <w:ind w:firstLine="480"/>
        <w:rPr>
          <w:rFonts w:hint="default"/>
        </w:rPr>
      </w:pPr>
      <w:r>
        <w:t>根据本章第1.10款、第2.2款和第2.3款对比选文件所作的澄清、修改，构成比选文件的组成部分。</w:t>
      </w:r>
    </w:p>
    <w:p w14:paraId="6446FFFE">
      <w:pPr>
        <w:pStyle w:val="26"/>
        <w:ind w:firstLine="480"/>
        <w:rPr>
          <w:rFonts w:hint="default"/>
        </w:rPr>
      </w:pPr>
      <w:r>
        <w:t>当比选文件、比选文件的澄清或修改等在同一内容的表述上不一致时，以最后发出的书面文件为准。</w:t>
      </w:r>
    </w:p>
    <w:p w14:paraId="5F501FF8">
      <w:pPr>
        <w:pStyle w:val="26"/>
        <w:ind w:firstLine="480"/>
        <w:rPr>
          <w:rFonts w:hint="default"/>
        </w:rPr>
      </w:pPr>
      <w:r>
        <w:t>2.1.1构成比选文件的其他材料:比选文件补遗书（如果有）</w:t>
      </w:r>
    </w:p>
    <w:p w14:paraId="1065AE3D">
      <w:pPr>
        <w:pStyle w:val="26"/>
        <w:ind w:firstLine="480"/>
        <w:rPr>
          <w:rFonts w:hint="default"/>
        </w:rPr>
      </w:pPr>
      <w:r>
        <w:t>2.2比选文件的澄清</w:t>
      </w:r>
    </w:p>
    <w:p w14:paraId="00389912">
      <w:pPr>
        <w:pStyle w:val="26"/>
        <w:ind w:firstLine="480"/>
        <w:rPr>
          <w:rFonts w:hint="default"/>
        </w:rPr>
      </w:pPr>
      <w:r>
        <w:t>2.2.1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14:paraId="5CE252BA">
      <w:pPr>
        <w:pStyle w:val="26"/>
        <w:ind w:firstLine="480"/>
        <w:rPr>
          <w:rFonts w:hint="default"/>
        </w:rPr>
      </w:pPr>
      <w:r>
        <w:t>2.2.2比选文件的澄清以比选申请人须知前附表规定的形式发出，但不指明澄清问题的来源。澄清发出的时间距本章第4.2.1项规定的比选截止时间不足3日，且澄清内容可能影响比选申请文件编制，将相应延长比选截止时间。</w:t>
      </w:r>
    </w:p>
    <w:p w14:paraId="1FEAAE48">
      <w:pPr>
        <w:pStyle w:val="26"/>
        <w:ind w:firstLine="480"/>
        <w:rPr>
          <w:rFonts w:hint="default"/>
        </w:rPr>
      </w:pPr>
      <w:r>
        <w:t>2.2.3比选申请人在收到澄清后，应按比选申请人须知前附表规定的时间和形式通知比选人，确认已收到该澄清。</w:t>
      </w:r>
    </w:p>
    <w:p w14:paraId="4210AD30">
      <w:pPr>
        <w:pStyle w:val="26"/>
        <w:ind w:firstLine="480"/>
        <w:rPr>
          <w:rFonts w:hint="default"/>
        </w:rPr>
      </w:pPr>
      <w:r>
        <w:t>2.2.4除非比选人认为确有必要答复，否则，比选人有权拒绝回复比选申请人在本章第2.2.1项规定的时间后提出的任何澄清要求。</w:t>
      </w:r>
    </w:p>
    <w:p w14:paraId="69B74727">
      <w:pPr>
        <w:pStyle w:val="26"/>
        <w:ind w:firstLine="480"/>
        <w:rPr>
          <w:rFonts w:hint="default"/>
        </w:rPr>
      </w:pPr>
      <w:r>
        <w:t>2.3比选文件的修改</w:t>
      </w:r>
    </w:p>
    <w:p w14:paraId="7351EAC8">
      <w:pPr>
        <w:pStyle w:val="26"/>
        <w:ind w:firstLine="480"/>
        <w:rPr>
          <w:rFonts w:hint="default"/>
        </w:rPr>
      </w:pPr>
      <w:r>
        <w:t>2.3.1比选人以比选申请人须前附表规定的形式修改比选文件，修改比选文件的时间距本章第4.2.1项规定的比选截止时间不足3日，且修改内容可能影响比选申请文件编制的，将相应延长比选截止时间。</w:t>
      </w:r>
    </w:p>
    <w:p w14:paraId="3EBE4EF6">
      <w:pPr>
        <w:pStyle w:val="26"/>
        <w:ind w:firstLine="480"/>
        <w:rPr>
          <w:rFonts w:hint="default"/>
        </w:rPr>
      </w:pPr>
      <w:r>
        <w:t>2.3.2比选申请人按照比选申请人须知前附表要求及时收悉修改内容。比选申请人应注意及时浏览澄清发布媒介发出的修改，因比选申请人自身原因未及时获知修改内容而导致的任何后果将由比选申请人自行承担。</w:t>
      </w:r>
    </w:p>
    <w:p w14:paraId="3C87F6A5">
      <w:pPr>
        <w:pStyle w:val="26"/>
        <w:ind w:firstLine="480"/>
        <w:rPr>
          <w:rFonts w:hint="default"/>
        </w:rPr>
      </w:pPr>
      <w:r>
        <w:t>3.比选申请文件</w:t>
      </w:r>
    </w:p>
    <w:p w14:paraId="1A7FC96B">
      <w:pPr>
        <w:pStyle w:val="26"/>
        <w:ind w:firstLine="480"/>
        <w:rPr>
          <w:rFonts w:hint="default"/>
        </w:rPr>
      </w:pPr>
      <w:r>
        <w:t>3.1比选申请文件的组成</w:t>
      </w:r>
    </w:p>
    <w:p w14:paraId="6C780E8D">
      <w:pPr>
        <w:pStyle w:val="26"/>
        <w:ind w:firstLine="480"/>
        <w:rPr>
          <w:rFonts w:hint="default"/>
        </w:rPr>
      </w:pPr>
      <w:r>
        <w:t>3.1.1比选申请文件应采用双信封形式，包括下列内容：</w:t>
      </w:r>
    </w:p>
    <w:p w14:paraId="5D64950E">
      <w:pPr>
        <w:pStyle w:val="26"/>
        <w:ind w:firstLine="480"/>
        <w:rPr>
          <w:rFonts w:hint="default"/>
        </w:rPr>
      </w:pPr>
      <w:r>
        <w:t>（1）比选申请函；</w:t>
      </w:r>
    </w:p>
    <w:p w14:paraId="6CA6F252">
      <w:pPr>
        <w:pStyle w:val="26"/>
        <w:ind w:firstLine="480"/>
        <w:rPr>
          <w:rFonts w:hint="default"/>
        </w:rPr>
      </w:pPr>
      <w:r>
        <w:t>（2）授权委托书或法定代表人身份证明；</w:t>
      </w:r>
    </w:p>
    <w:p w14:paraId="52EA2EE1">
      <w:pPr>
        <w:pStyle w:val="26"/>
        <w:ind w:firstLine="480"/>
        <w:rPr>
          <w:rFonts w:hint="default"/>
        </w:rPr>
      </w:pPr>
      <w:r>
        <w:t>（3）比选保证金（若有）；</w:t>
      </w:r>
    </w:p>
    <w:p w14:paraId="6711CBDA">
      <w:pPr>
        <w:pStyle w:val="26"/>
        <w:ind w:firstLine="480"/>
        <w:rPr>
          <w:rFonts w:hint="default"/>
        </w:rPr>
      </w:pPr>
      <w:r>
        <w:t>（4）资格审查证明资料；</w:t>
      </w:r>
    </w:p>
    <w:p w14:paraId="40E6DAEF">
      <w:pPr>
        <w:pStyle w:val="26"/>
        <w:ind w:firstLine="480"/>
        <w:rPr>
          <w:rFonts w:hint="default"/>
        </w:rPr>
      </w:pPr>
      <w:r>
        <w:t>（5）技术建议书；</w:t>
      </w:r>
    </w:p>
    <w:p w14:paraId="501F13D4">
      <w:pPr>
        <w:pStyle w:val="26"/>
        <w:ind w:firstLine="480"/>
        <w:rPr>
          <w:rFonts w:hint="default"/>
        </w:rPr>
      </w:pPr>
      <w:r>
        <w:t>（6）其他资料（若有）。</w:t>
      </w:r>
    </w:p>
    <w:p w14:paraId="237150E3">
      <w:pPr>
        <w:pStyle w:val="26"/>
        <w:ind w:firstLine="480"/>
        <w:rPr>
          <w:rFonts w:hint="default"/>
        </w:rPr>
      </w:pPr>
      <w:r>
        <w:t>比选申请人在评选过程中作出的符合法律法规和比选文件规定的澄清确认，构成比选申请文件的组成部分。</w:t>
      </w:r>
    </w:p>
    <w:p w14:paraId="7680A625">
      <w:pPr>
        <w:pStyle w:val="26"/>
        <w:ind w:firstLine="480"/>
        <w:rPr>
          <w:rFonts w:hint="default"/>
        </w:rPr>
      </w:pPr>
      <w:r>
        <w:t>3.1.2比选申请人须知前附表未要求提交比选保证金的，比选申请文件不包括本章第3.1.1（3）目所指的比选保证金，比选申请人须知前附表要求提交比选保证金的，比选申请文件应包括本章第3.1.1（3）目所指的比选保证金。</w:t>
      </w:r>
    </w:p>
    <w:p w14:paraId="3B2F4BBB">
      <w:pPr>
        <w:pStyle w:val="26"/>
        <w:ind w:firstLine="480"/>
        <w:rPr>
          <w:rFonts w:hint="default"/>
        </w:rPr>
      </w:pPr>
      <w:r>
        <w:t>3.2比选报价</w:t>
      </w:r>
    </w:p>
    <w:p w14:paraId="3B3C2D1B">
      <w:pPr>
        <w:pStyle w:val="26"/>
        <w:ind w:firstLine="480"/>
        <w:rPr>
          <w:rFonts w:hint="default"/>
        </w:rPr>
      </w:pPr>
      <w:r>
        <w:t>3.2.1比选报价应包括国家规定的增值税税金，除比选申请人须知前附表另有规定外，增值税税金计算符合《中华人民共和国增值税暂行条例》及相关法律法规要求。比选申请人应按第五章“比选申请文件格式”的要求在比选申请函中进行报价。</w:t>
      </w:r>
    </w:p>
    <w:p w14:paraId="4CF502E9">
      <w:pPr>
        <w:pStyle w:val="26"/>
        <w:ind w:firstLine="480"/>
        <w:rPr>
          <w:rFonts w:hint="default"/>
        </w:rPr>
      </w:pPr>
      <w:r>
        <w:t>3.2.2比选申请人应充分了解本项目的总体情况以及影响比选报价的其他要素，按照比选文件规定的工作内容和计划工作量，自行测算相关费用。</w:t>
      </w:r>
    </w:p>
    <w:p w14:paraId="0D7D81B8">
      <w:pPr>
        <w:pStyle w:val="26"/>
        <w:ind w:firstLine="480"/>
        <w:rPr>
          <w:rFonts w:hint="default"/>
        </w:rPr>
      </w:pPr>
      <w:r>
        <w:t>3.2.3本项目的报价方式见比选申请人须知前附表。比选申请人在比选截止时间前修改比选申请函中的比选报价。此修改须符合本章第4.3款的有关要求。</w:t>
      </w:r>
    </w:p>
    <w:p w14:paraId="06A2F63E">
      <w:pPr>
        <w:pStyle w:val="26"/>
        <w:ind w:firstLine="480"/>
        <w:rPr>
          <w:rFonts w:hint="default"/>
        </w:rPr>
      </w:pPr>
      <w:r>
        <w:t>3.2.4比选人设有最高比选限价的，比选申请人的比选报价不得超过最高比选限价，最高比选限价在比选申请人须知前附表中载明。</w:t>
      </w:r>
    </w:p>
    <w:p w14:paraId="54A527EC">
      <w:pPr>
        <w:pStyle w:val="26"/>
        <w:ind w:firstLine="480"/>
        <w:rPr>
          <w:rFonts w:hint="default"/>
        </w:rPr>
      </w:pPr>
      <w:r>
        <w:t>3.2.5比选报价的其他要求见比选申请人须知前附表。</w:t>
      </w:r>
    </w:p>
    <w:p w14:paraId="4549BA04">
      <w:pPr>
        <w:pStyle w:val="26"/>
        <w:ind w:firstLine="480"/>
        <w:rPr>
          <w:rFonts w:hint="default"/>
        </w:rPr>
      </w:pPr>
      <w:r>
        <w:t>3.3比选有效期</w:t>
      </w:r>
    </w:p>
    <w:p w14:paraId="3D4E56B3">
      <w:pPr>
        <w:pStyle w:val="26"/>
        <w:ind w:firstLine="480"/>
        <w:rPr>
          <w:rFonts w:hint="default"/>
        </w:rPr>
      </w:pPr>
      <w:r>
        <w:t>3.3.1除比选申请人须知前附表另有规定外，比选有效期为90日。</w:t>
      </w:r>
    </w:p>
    <w:p w14:paraId="1EC91616">
      <w:pPr>
        <w:pStyle w:val="26"/>
        <w:ind w:firstLine="480"/>
        <w:rPr>
          <w:rFonts w:hint="default"/>
        </w:rPr>
      </w:pPr>
      <w:r>
        <w:t>3.3.2在比选有效期内，比选申请人撤销比选申请文件的，应承担比选文件和法律规定的责任。</w:t>
      </w:r>
    </w:p>
    <w:p w14:paraId="1651E0C5">
      <w:pPr>
        <w:pStyle w:val="26"/>
        <w:ind w:firstLine="480"/>
        <w:rPr>
          <w:rFonts w:hint="default"/>
        </w:rPr>
      </w:pPr>
      <w:r>
        <w:t>3.3.3出现特殊情况需要延长比选有效期的，比选人以书面形式通知所有比选申请人延长比选有效期。比选申请人应予以书面答复，同意延长的，应相应延长其比选保证金的有效期，但不得要求或被允许修改其比选申请文件；比选申请人拒绝延长的，其比选失效，但比选申请人有权收回其比选保证金。</w:t>
      </w:r>
    </w:p>
    <w:p w14:paraId="749FA40E">
      <w:pPr>
        <w:pStyle w:val="26"/>
        <w:ind w:firstLine="480"/>
        <w:rPr>
          <w:rFonts w:hint="default"/>
        </w:rPr>
      </w:pPr>
      <w:r>
        <w:t>3.4比选保证金（若有）</w:t>
      </w:r>
    </w:p>
    <w:p w14:paraId="2187005C">
      <w:pPr>
        <w:pStyle w:val="26"/>
        <w:ind w:firstLine="480"/>
        <w:rPr>
          <w:rFonts w:hint="default"/>
        </w:rPr>
      </w:pPr>
      <w:r>
        <w:t>3.4.1比选申请人在递交比选申请文件的同时，应按比选申请人须知前附表规定的金额和第五章“比选申请文件格式”规定的比选保证金格式递交比选保证金，并作为其比选申请文件的组成部分。</w:t>
      </w:r>
    </w:p>
    <w:p w14:paraId="02A12C39">
      <w:pPr>
        <w:pStyle w:val="26"/>
        <w:ind w:firstLine="480"/>
        <w:rPr>
          <w:rFonts w:hint="default"/>
        </w:rPr>
      </w:pPr>
      <w:r>
        <w:t>比选保证金应采用比选人在比选申请人须知前附表规定的其他形式（若有）。</w:t>
      </w:r>
    </w:p>
    <w:p w14:paraId="20622BA0">
      <w:pPr>
        <w:pStyle w:val="26"/>
        <w:ind w:firstLine="480"/>
        <w:rPr>
          <w:rFonts w:hint="default"/>
        </w:rPr>
      </w:pPr>
      <w:r>
        <w:t>比选申请人应在递交比选申请文件截止时间之前，将比选保证金由比选申请人的基本账户转入比选人指定账户，否则视为比选保证金无效。比选人指定的开户银行及账号见比选申请人须知前附表。</w:t>
      </w:r>
    </w:p>
    <w:p w14:paraId="20409D37">
      <w:pPr>
        <w:pStyle w:val="26"/>
        <w:ind w:firstLine="480"/>
        <w:rPr>
          <w:rFonts w:hint="default"/>
        </w:rPr>
      </w:pPr>
      <w:r>
        <w:t>无论采取何种形式的比选保证金，比选保证金有效期均应与比选有效期一致。比选人如果按本章第3.3.3项的规定延长了比选有效期，则比选保证金的有效期也相应延长。</w:t>
      </w:r>
    </w:p>
    <w:p w14:paraId="2A5EA983">
      <w:pPr>
        <w:pStyle w:val="26"/>
        <w:ind w:firstLine="480"/>
        <w:rPr>
          <w:rFonts w:hint="default"/>
        </w:rPr>
      </w:pPr>
      <w:r>
        <w:t>比选申请人不按本章第3.4.1项要求提交比选保证金的，评选委员会将否决其比选。</w:t>
      </w:r>
    </w:p>
    <w:p w14:paraId="4211DE34">
      <w:pPr>
        <w:pStyle w:val="26"/>
        <w:ind w:firstLine="480"/>
        <w:rPr>
          <w:rFonts w:hint="default"/>
        </w:rPr>
      </w:pPr>
      <w:r>
        <w:t>3.4.2利息计算原则：见比选申请人须知前附表。</w:t>
      </w:r>
    </w:p>
    <w:p w14:paraId="697F56AB">
      <w:pPr>
        <w:pStyle w:val="26"/>
        <w:ind w:firstLine="480"/>
        <w:rPr>
          <w:rFonts w:hint="default"/>
        </w:rPr>
      </w:pPr>
      <w:r>
        <w:t>3.4.3比选保证金的退还方式：见比选申请人须知前附表。</w:t>
      </w:r>
    </w:p>
    <w:p w14:paraId="6946A966">
      <w:pPr>
        <w:pStyle w:val="26"/>
        <w:ind w:firstLine="480"/>
        <w:rPr>
          <w:rFonts w:hint="default"/>
        </w:rPr>
      </w:pPr>
      <w:r>
        <w:t>3.4.4有下列情形之一的，比选保证金将不予退还：</w:t>
      </w:r>
    </w:p>
    <w:p w14:paraId="5315A4B3">
      <w:pPr>
        <w:pStyle w:val="26"/>
        <w:ind w:firstLine="480"/>
        <w:rPr>
          <w:rFonts w:hint="default"/>
        </w:rPr>
      </w:pPr>
      <w:r>
        <w:t>（1）比选申请人在比选有效期内撤销比选申请文件；</w:t>
      </w:r>
    </w:p>
    <w:p w14:paraId="481226A7">
      <w:pPr>
        <w:pStyle w:val="26"/>
        <w:ind w:firstLine="480"/>
        <w:rPr>
          <w:rFonts w:hint="default"/>
        </w:rPr>
      </w:pPr>
      <w:r>
        <w:t>（2）中选人在收到中选通知书后，无正当理由不与比选人订立合同，在签订合同时向比选人提出附加条件，或不按照比选文件要求提交履约保证金；</w:t>
      </w:r>
    </w:p>
    <w:p w14:paraId="64076824">
      <w:pPr>
        <w:pStyle w:val="26"/>
        <w:ind w:firstLine="480"/>
        <w:rPr>
          <w:rFonts w:hint="default"/>
        </w:rPr>
      </w:pPr>
      <w:r>
        <w:t>（3）发生比选申请人须知前附表规定的其他不予退还比选保证金的情形。</w:t>
      </w:r>
    </w:p>
    <w:p w14:paraId="2A109DA0">
      <w:pPr>
        <w:pStyle w:val="26"/>
        <w:ind w:firstLine="480"/>
        <w:rPr>
          <w:rFonts w:hint="default"/>
        </w:rPr>
      </w:pPr>
      <w:r>
        <w:t>3.5资格审查资料</w:t>
      </w:r>
    </w:p>
    <w:p w14:paraId="0675DF1E">
      <w:pPr>
        <w:pStyle w:val="26"/>
        <w:ind w:firstLine="480"/>
        <w:rPr>
          <w:rFonts w:hint="default"/>
        </w:rPr>
      </w:pPr>
      <w:r>
        <w:t>除比选申请人须知前附表另有规定外，比选申请人应按下列规定提供资格审查资料，以证明其满足本章第1.4款规定的资质、财务、业绩、信誉等要求。</w:t>
      </w:r>
    </w:p>
    <w:p w14:paraId="23B3C873">
      <w:pPr>
        <w:pStyle w:val="26"/>
        <w:ind w:firstLine="480"/>
        <w:rPr>
          <w:rFonts w:hint="default"/>
        </w:rPr>
      </w:pPr>
      <w:r>
        <w:t>3.5.1“比选申请人基本情况表”应附的证明材料要求：见比选申请人须知前附表。</w:t>
      </w:r>
    </w:p>
    <w:p w14:paraId="6DE535D1">
      <w:pPr>
        <w:pStyle w:val="26"/>
        <w:ind w:firstLine="480"/>
        <w:rPr>
          <w:rFonts w:hint="default"/>
        </w:rPr>
      </w:pPr>
      <w:r>
        <w:t>3.5.3“近年完成的类似项目”具体时间要求：见比选申请人须知前附表。</w:t>
      </w:r>
    </w:p>
    <w:p w14:paraId="44F85629">
      <w:pPr>
        <w:pStyle w:val="26"/>
        <w:ind w:firstLine="480"/>
        <w:rPr>
          <w:rFonts w:hint="default"/>
        </w:rPr>
      </w:pPr>
      <w:r>
        <w:t>“近年完成的类似项目情况表”应附的证明材料要求：见比选申请人须知前附表。</w:t>
      </w:r>
    </w:p>
    <w:p w14:paraId="25390A02">
      <w:pPr>
        <w:pStyle w:val="26"/>
        <w:ind w:firstLine="480"/>
        <w:rPr>
          <w:rFonts w:hint="default"/>
        </w:rPr>
      </w:pPr>
      <w:r>
        <w:t>如比选申请人未提供相关项目证明材料或相关证明材料中的信息无法证实比选申请人满足比选文件定的资格审查条件（业绩最低要求），则该项目业绩不予认定。</w:t>
      </w:r>
    </w:p>
    <w:p w14:paraId="14F56FF5">
      <w:pPr>
        <w:pStyle w:val="26"/>
        <w:ind w:firstLine="480"/>
        <w:rPr>
          <w:rFonts w:hint="default"/>
        </w:rPr>
      </w:pPr>
      <w:r>
        <w:t>3.5.4“比选申请人的信誉情况表”应附的证明材料要求：见比选申请人须知前附表。</w:t>
      </w:r>
    </w:p>
    <w:p w14:paraId="698BFC4A">
      <w:pPr>
        <w:pStyle w:val="26"/>
        <w:ind w:firstLine="480"/>
        <w:rPr>
          <w:rFonts w:hint="default"/>
        </w:rPr>
      </w:pPr>
      <w:r>
        <w:t>3.5.5“拟委任的试验室主任资历表”应附的证明材料要求：见比选申请人须知前附表。</w:t>
      </w:r>
    </w:p>
    <w:p w14:paraId="13B7239A">
      <w:pPr>
        <w:pStyle w:val="26"/>
        <w:ind w:firstLine="480"/>
        <w:rPr>
          <w:rFonts w:hint="default"/>
        </w:rPr>
      </w:pPr>
      <w:r>
        <w:t>如比选申请人未提供相关业绩证明材料或相关业绩证明材料中的信息无法证实比选申请人满足比选文件规定的资格审查条件，则该业绩不予认定。</w:t>
      </w:r>
    </w:p>
    <w:p w14:paraId="3963E0BF">
      <w:pPr>
        <w:pStyle w:val="26"/>
        <w:ind w:firstLine="480"/>
        <w:rPr>
          <w:rFonts w:hint="default"/>
        </w:rPr>
      </w:pPr>
      <w:r>
        <w:t>3.5.7除合同条款约定的特殊情形外，比选申请人在比选申请文件中填报的</w:t>
      </w:r>
      <w:r>
        <w:rPr>
          <w:rFonts w:hint="eastAsia"/>
          <w:lang w:eastAsia="zh-CN"/>
        </w:rPr>
        <w:t>试验室主任</w:t>
      </w:r>
      <w:r>
        <w:t>不允许更换。</w:t>
      </w:r>
    </w:p>
    <w:p w14:paraId="5F5C2CDC">
      <w:pPr>
        <w:pStyle w:val="26"/>
        <w:ind w:firstLine="480"/>
        <w:rPr>
          <w:rFonts w:hint="default"/>
        </w:rPr>
      </w:pPr>
      <w:r>
        <w:t>3.5.9比选人有权核查比选申请人在比选申请文件中提供的资料，若在评选期间发现比选申请人提供了虚假资料，其比选将被否决；若在签订合同前发现作为中选候选人的比选申请人提供了虚假资料，比选人有权取消其中选资格；若在合同实施期间发现比选申请人提供了虚假资料，比选人有权从合同价款或履约保证金中扣除不超过合同价的5％的金额作为违约金。同时比选人将比选申请人上述弄虚作假行为上报相关部门。</w:t>
      </w:r>
    </w:p>
    <w:p w14:paraId="50B12071">
      <w:pPr>
        <w:pStyle w:val="26"/>
        <w:ind w:firstLine="480"/>
        <w:rPr>
          <w:rFonts w:hint="default"/>
        </w:rPr>
      </w:pPr>
      <w:r>
        <w:t>3.6备选比选方案</w:t>
      </w:r>
    </w:p>
    <w:p w14:paraId="4DB20188">
      <w:pPr>
        <w:pStyle w:val="26"/>
        <w:ind w:firstLine="480"/>
        <w:rPr>
          <w:rFonts w:hint="default"/>
        </w:rPr>
      </w:pPr>
      <w:r>
        <w:t>3.6.1除比选申请人须知前附表规定允许外，比选申请人不得递交备选比选方案，否则其比选将被否决。</w:t>
      </w:r>
    </w:p>
    <w:p w14:paraId="281D41FB">
      <w:pPr>
        <w:pStyle w:val="26"/>
        <w:ind w:firstLine="480"/>
        <w:rPr>
          <w:rFonts w:hint="default"/>
        </w:rPr>
      </w:pPr>
      <w:r>
        <w:t>3.7比选申请文件的编制</w:t>
      </w:r>
    </w:p>
    <w:p w14:paraId="4FFA1EB7">
      <w:pPr>
        <w:pStyle w:val="26"/>
        <w:ind w:firstLine="480"/>
        <w:rPr>
          <w:rFonts w:hint="default"/>
        </w:rPr>
      </w:pPr>
      <w:r>
        <w:t>3.7.1比选申请文件应按第五章“比选申请文件格式”进行编写，如有必要，可以增加附页，作为比选申请文件的组成部分。</w:t>
      </w:r>
    </w:p>
    <w:p w14:paraId="40A3EE3B">
      <w:pPr>
        <w:pStyle w:val="26"/>
        <w:ind w:firstLine="480"/>
        <w:rPr>
          <w:rFonts w:hint="default"/>
        </w:rPr>
      </w:pPr>
      <w:r>
        <w:t>3.7.2比选申请文件应对比选文件有关服务期限、比选有效期、质量要求、安全目标、发包人要求、比选范围等实质性内容作出响应。</w:t>
      </w:r>
    </w:p>
    <w:p w14:paraId="3421616D">
      <w:pPr>
        <w:pStyle w:val="26"/>
        <w:ind w:firstLine="480"/>
        <w:rPr>
          <w:rFonts w:hint="default"/>
        </w:rPr>
      </w:pPr>
      <w:r>
        <w:t>3.7.3比选申请文件的制作应满足以下规定：</w:t>
      </w:r>
    </w:p>
    <w:p w14:paraId="65DF1366">
      <w:pPr>
        <w:pStyle w:val="26"/>
        <w:ind w:firstLine="480"/>
        <w:rPr>
          <w:rFonts w:hint="default"/>
        </w:rPr>
      </w:pPr>
      <w:r>
        <w:t>（1）比选申请文件中证明资料的“扫描件”均为“原件的扫描件（黑白或彩色）”。</w:t>
      </w:r>
    </w:p>
    <w:p w14:paraId="64F2331A">
      <w:pPr>
        <w:pStyle w:val="26"/>
        <w:ind w:firstLine="480"/>
        <w:rPr>
          <w:rFonts w:hint="default"/>
        </w:rPr>
      </w:pPr>
      <w:r>
        <w:t>（2）第五章“比选申请文件格式”中要求盖单位印章的地方加盖单位印章。第五章“比选申请文件格式”中要求签字的地方，加盖比选申请人的法定代表人或其委托代理人的个人签字或个人印章。</w:t>
      </w:r>
    </w:p>
    <w:p w14:paraId="664A9564">
      <w:pPr>
        <w:pStyle w:val="26"/>
        <w:ind w:firstLine="480"/>
        <w:rPr>
          <w:rFonts w:hint="default"/>
        </w:rPr>
      </w:pPr>
      <w:r>
        <w:t>3.7.4比选申请文件份数及其他要求：见比选申请人须知前附表。</w:t>
      </w:r>
    </w:p>
    <w:p w14:paraId="2073FA9B">
      <w:pPr>
        <w:pStyle w:val="26"/>
        <w:ind w:firstLine="480"/>
        <w:rPr>
          <w:rFonts w:hint="default"/>
        </w:rPr>
      </w:pPr>
      <w:r>
        <w:t>3.7.5比选申请文件密封、装订的其他要求：见比选申请人须知前附表。</w:t>
      </w:r>
    </w:p>
    <w:p w14:paraId="75D7AB57">
      <w:pPr>
        <w:pStyle w:val="26"/>
        <w:ind w:firstLine="480"/>
        <w:rPr>
          <w:rFonts w:hint="default"/>
        </w:rPr>
      </w:pPr>
      <w:r>
        <w:t>4.比选</w:t>
      </w:r>
    </w:p>
    <w:p w14:paraId="74794249">
      <w:pPr>
        <w:pStyle w:val="26"/>
        <w:ind w:firstLine="480"/>
        <w:rPr>
          <w:rFonts w:hint="default"/>
        </w:rPr>
      </w:pPr>
      <w:r>
        <w:t>4.1比选申请文件的标识</w:t>
      </w:r>
    </w:p>
    <w:p w14:paraId="18E704C6">
      <w:pPr>
        <w:pStyle w:val="26"/>
        <w:ind w:firstLine="480"/>
        <w:rPr>
          <w:rFonts w:hint="default"/>
        </w:rPr>
      </w:pPr>
      <w:r>
        <w:t>4.1.1封套上应载明的信息：见比选申请人须知前附表。</w:t>
      </w:r>
    </w:p>
    <w:p w14:paraId="1B841375">
      <w:pPr>
        <w:pStyle w:val="26"/>
        <w:ind w:firstLine="480"/>
        <w:rPr>
          <w:rFonts w:hint="default"/>
        </w:rPr>
      </w:pPr>
      <w:r>
        <w:t>4.1.3未按本章第4.1.1项要求密封或加密的比选申请文件，比选人将予以拒收。</w:t>
      </w:r>
    </w:p>
    <w:p w14:paraId="770AB168">
      <w:pPr>
        <w:pStyle w:val="26"/>
        <w:ind w:firstLine="480"/>
        <w:rPr>
          <w:rFonts w:hint="default"/>
        </w:rPr>
      </w:pPr>
      <w:r>
        <w:t>4.2比选申请文件的递交</w:t>
      </w:r>
    </w:p>
    <w:p w14:paraId="5AC55558">
      <w:pPr>
        <w:pStyle w:val="26"/>
        <w:ind w:firstLine="480"/>
        <w:rPr>
          <w:rFonts w:hint="default"/>
        </w:rPr>
      </w:pPr>
      <w:r>
        <w:t>4.2.1比选申请人应在第一章“比选公告”规定的比选截止时间前递交比选申请文件。</w:t>
      </w:r>
    </w:p>
    <w:p w14:paraId="7822389D">
      <w:pPr>
        <w:pStyle w:val="26"/>
        <w:ind w:firstLine="480"/>
        <w:rPr>
          <w:rFonts w:hint="default"/>
        </w:rPr>
      </w:pPr>
      <w:r>
        <w:t>4.2.2比选申请人递交比选申请文件的方式、地点：见第一章“比选公告”。</w:t>
      </w:r>
    </w:p>
    <w:p w14:paraId="240C8F71">
      <w:pPr>
        <w:pStyle w:val="26"/>
        <w:ind w:firstLine="480"/>
        <w:rPr>
          <w:rFonts w:hint="default"/>
        </w:rPr>
      </w:pPr>
      <w:r>
        <w:t xml:space="preserve">4.2.3除比选申请人须知前附表另有规定外，比选申请人所递交的比选申请文件不予退还。比选申请人少于3个的（不含3个），该标段将不予开标，比选申请人的比选申请文件将被“退还”给比选申请人。 </w:t>
      </w:r>
    </w:p>
    <w:p w14:paraId="312CFF15">
      <w:pPr>
        <w:pStyle w:val="26"/>
        <w:ind w:firstLine="480"/>
        <w:rPr>
          <w:rFonts w:hint="default"/>
        </w:rPr>
      </w:pPr>
      <w:r>
        <w:t>4.2.4比选申请人逾期送达的或未送达指定地点的比选申请文件，比选人将予以拒收。</w:t>
      </w:r>
    </w:p>
    <w:p w14:paraId="76065E81">
      <w:pPr>
        <w:pStyle w:val="26"/>
        <w:ind w:firstLine="480"/>
        <w:rPr>
          <w:rFonts w:hint="default"/>
        </w:rPr>
      </w:pPr>
      <w:r>
        <w:t>4.3比选申请文件的修改与撤回</w:t>
      </w:r>
    </w:p>
    <w:p w14:paraId="7635878C">
      <w:pPr>
        <w:pStyle w:val="26"/>
        <w:ind w:firstLine="480"/>
        <w:rPr>
          <w:rFonts w:hint="default"/>
        </w:rPr>
      </w:pPr>
      <w:r>
        <w:t>4.3.1在本章第4.2.1项规定的比选截止时间前，比选申请人可以修改或撤回已递交的比选申请文件，比选申请人对比选申请文件进行修改后，应在比选截止时间前完成提交。比选截止后，比选申请人不得撤销已递交的比选申请文件。</w:t>
      </w:r>
    </w:p>
    <w:p w14:paraId="069E810C">
      <w:pPr>
        <w:pStyle w:val="26"/>
        <w:ind w:firstLine="480"/>
        <w:rPr>
          <w:rFonts w:hint="default"/>
        </w:rPr>
      </w:pPr>
      <w:r>
        <w:t>4.3.2比选申请人撤回比选申请文件的，放弃比选的，比选人自收到比选申请人书面撤回通知之日起5日内退还已收取的比选保证金（若有）。</w:t>
      </w:r>
    </w:p>
    <w:p w14:paraId="7A435D9B">
      <w:pPr>
        <w:pStyle w:val="26"/>
        <w:ind w:firstLine="480"/>
        <w:rPr>
          <w:rFonts w:hint="default"/>
        </w:rPr>
      </w:pPr>
      <w:r>
        <w:t>5.开标</w:t>
      </w:r>
    </w:p>
    <w:p w14:paraId="4925B0B5">
      <w:pPr>
        <w:pStyle w:val="26"/>
        <w:ind w:firstLine="480"/>
        <w:rPr>
          <w:rFonts w:hint="default"/>
        </w:rPr>
      </w:pPr>
      <w:r>
        <w:t>5.1开标时间和地点</w:t>
      </w:r>
    </w:p>
    <w:p w14:paraId="048D9AE8">
      <w:pPr>
        <w:pStyle w:val="26"/>
        <w:ind w:firstLine="480"/>
        <w:rPr>
          <w:rFonts w:hint="default"/>
        </w:rPr>
      </w:pPr>
      <w:r>
        <w:t>比选人在本章第4.2.1项规定的比选截止时间（开标时间）和比选申请人须知前附表规定的地点公开开标，比选申请人现场开标。</w:t>
      </w:r>
    </w:p>
    <w:p w14:paraId="00126F0C">
      <w:pPr>
        <w:pStyle w:val="26"/>
        <w:ind w:firstLine="480"/>
        <w:rPr>
          <w:rFonts w:hint="default"/>
        </w:rPr>
      </w:pPr>
      <w:r>
        <w:t>5.2开标程序</w:t>
      </w:r>
    </w:p>
    <w:p w14:paraId="4AD6092F">
      <w:pPr>
        <w:pStyle w:val="26"/>
        <w:ind w:firstLine="480"/>
        <w:rPr>
          <w:rFonts w:hint="default"/>
        </w:rPr>
      </w:pPr>
      <w:r>
        <w:t>5.2.1开标程序：见比选申请人须知前附表</w:t>
      </w:r>
    </w:p>
    <w:p w14:paraId="35FF2416">
      <w:pPr>
        <w:pStyle w:val="26"/>
        <w:ind w:firstLine="480"/>
        <w:rPr>
          <w:rFonts w:hint="default"/>
        </w:rPr>
      </w:pPr>
      <w:r>
        <w:t>5.2.2比选申请人对开标有异议的，应当在开标现场以书面形式提出，比选人当场作出答复，并制作记录。</w:t>
      </w:r>
    </w:p>
    <w:p w14:paraId="64C4218E">
      <w:pPr>
        <w:pStyle w:val="26"/>
        <w:ind w:firstLine="480"/>
        <w:rPr>
          <w:rFonts w:hint="default"/>
        </w:rPr>
      </w:pPr>
      <w:r>
        <w:t>5.4开标异议</w:t>
      </w:r>
    </w:p>
    <w:p w14:paraId="6D4014B9">
      <w:pPr>
        <w:pStyle w:val="26"/>
        <w:ind w:firstLine="480"/>
        <w:rPr>
          <w:rFonts w:hint="default"/>
        </w:rPr>
      </w:pPr>
      <w:r>
        <w:t>5.4.1比选申请人于现场参加开标，对开标有异议的，应在开标现场提出，比选人当场作出答复，并制作记录。</w:t>
      </w:r>
    </w:p>
    <w:p w14:paraId="46FEEEDE">
      <w:pPr>
        <w:pStyle w:val="26"/>
        <w:ind w:firstLine="480"/>
        <w:rPr>
          <w:rFonts w:hint="default"/>
        </w:rPr>
      </w:pPr>
      <w:r>
        <w:t>比选申请人最迟应在比选人形成开标记录表后15分钟内提出异议。</w:t>
      </w:r>
    </w:p>
    <w:p w14:paraId="3ECD1343">
      <w:pPr>
        <w:pStyle w:val="26"/>
        <w:ind w:firstLine="480"/>
        <w:rPr>
          <w:rFonts w:hint="default"/>
        </w:rPr>
      </w:pPr>
      <w:r>
        <w:t>6.评选</w:t>
      </w:r>
    </w:p>
    <w:p w14:paraId="357A6182">
      <w:pPr>
        <w:pStyle w:val="26"/>
        <w:ind w:firstLine="480"/>
        <w:rPr>
          <w:rFonts w:hint="default"/>
        </w:rPr>
      </w:pPr>
      <w:r>
        <w:t>6.1评选委员会</w:t>
      </w:r>
    </w:p>
    <w:p w14:paraId="54EF8538">
      <w:pPr>
        <w:pStyle w:val="26"/>
        <w:ind w:firstLine="480"/>
        <w:rPr>
          <w:rFonts w:hint="default"/>
        </w:rPr>
      </w:pPr>
      <w:r>
        <w:t>6.1.1评选由比选人依法组建的评选委员会负责。评选委员会由比选人熟悉相关业务的代表，以及有关技术、经济等方面的专家组成。评选委员会成员人数以及技术、经济等方面专家的确定方式见比选申请人须知前附表。</w:t>
      </w:r>
    </w:p>
    <w:p w14:paraId="26AF1416">
      <w:pPr>
        <w:pStyle w:val="26"/>
        <w:ind w:firstLine="480"/>
        <w:rPr>
          <w:rFonts w:hint="default"/>
        </w:rPr>
      </w:pPr>
      <w:r>
        <w:t>6.1.2评选委员会成员有下列情形之一的，应主动提出回避：</w:t>
      </w:r>
    </w:p>
    <w:p w14:paraId="3980FD88">
      <w:pPr>
        <w:pStyle w:val="26"/>
        <w:ind w:firstLine="480"/>
        <w:rPr>
          <w:rFonts w:hint="default"/>
        </w:rPr>
      </w:pPr>
      <w:r>
        <w:t>（1）为负责比选项目监督管理的主管部门的工作人员；</w:t>
      </w:r>
    </w:p>
    <w:p w14:paraId="0C0741FA">
      <w:pPr>
        <w:pStyle w:val="26"/>
        <w:ind w:firstLine="480"/>
        <w:rPr>
          <w:rFonts w:hint="default"/>
        </w:rPr>
      </w:pPr>
      <w:r>
        <w:t>（2）与比选申请人法定代表人有近亲属关系；</w:t>
      </w:r>
    </w:p>
    <w:p w14:paraId="21068811">
      <w:pPr>
        <w:pStyle w:val="26"/>
        <w:ind w:firstLine="480"/>
        <w:rPr>
          <w:rFonts w:hint="default"/>
        </w:rPr>
      </w:pPr>
      <w:r>
        <w:t>（3）为比选申请人的工作人员或退休人员；</w:t>
      </w:r>
    </w:p>
    <w:p w14:paraId="318E8E2C">
      <w:pPr>
        <w:pStyle w:val="26"/>
        <w:ind w:firstLine="480"/>
        <w:rPr>
          <w:rFonts w:hint="default"/>
        </w:rPr>
      </w:pPr>
      <w:r>
        <w:t>（4）与比选申请人有其他利害关系，可能影响评选活动公正性；</w:t>
      </w:r>
    </w:p>
    <w:p w14:paraId="3856A266">
      <w:pPr>
        <w:pStyle w:val="26"/>
        <w:ind w:firstLine="480"/>
        <w:rPr>
          <w:rFonts w:hint="default"/>
        </w:rPr>
      </w:pPr>
      <w:r>
        <w:t>（5）在与比选有关的活动中有过违法违规行为、曾受过行政处罚或刑事处罚。</w:t>
      </w:r>
    </w:p>
    <w:p w14:paraId="39A6CD20">
      <w:pPr>
        <w:pStyle w:val="26"/>
        <w:ind w:firstLine="480"/>
        <w:rPr>
          <w:rFonts w:hint="default"/>
        </w:rPr>
      </w:pPr>
      <w:r>
        <w:t>6.1.3评选过程中，评选委员会成员有回避事由、擅离职守或因健康等原因不能继续评选的，比选人有权更换。被更换的评选委员会成员作出的评审结论无效，由更换后的评选委员会成员重新进行评审。</w:t>
      </w:r>
    </w:p>
    <w:p w14:paraId="5142C35A">
      <w:pPr>
        <w:pStyle w:val="26"/>
        <w:ind w:firstLine="480"/>
        <w:rPr>
          <w:rFonts w:hint="default"/>
        </w:rPr>
      </w:pPr>
      <w:r>
        <w:t>6.2评选原则</w:t>
      </w:r>
    </w:p>
    <w:p w14:paraId="294C078A">
      <w:pPr>
        <w:pStyle w:val="26"/>
        <w:ind w:firstLine="480"/>
        <w:rPr>
          <w:rFonts w:hint="default"/>
        </w:rPr>
      </w:pPr>
      <w:r>
        <w:t>评选活动遵循公平、公正、科学和择优的原则。</w:t>
      </w:r>
    </w:p>
    <w:p w14:paraId="718DE676">
      <w:pPr>
        <w:pStyle w:val="26"/>
        <w:ind w:firstLine="480"/>
        <w:rPr>
          <w:rFonts w:hint="default"/>
        </w:rPr>
      </w:pPr>
      <w:r>
        <w:t>6.3评选</w:t>
      </w:r>
    </w:p>
    <w:p w14:paraId="2B77AFD9">
      <w:pPr>
        <w:pStyle w:val="26"/>
        <w:ind w:firstLine="480"/>
        <w:rPr>
          <w:rFonts w:hint="default"/>
        </w:rPr>
      </w:pPr>
      <w:r>
        <w:t>6.3.1评选委员会按照第三章“评选办法”规定的方法、评审因素、标准和程序对比选申请文件进行评审。第三章“评选办法”没有规定的方法、评审因素和标准，不作为评选依据。</w:t>
      </w:r>
    </w:p>
    <w:p w14:paraId="1C50E5FD">
      <w:pPr>
        <w:pStyle w:val="26"/>
        <w:ind w:firstLine="480"/>
        <w:rPr>
          <w:rFonts w:hint="default"/>
        </w:rPr>
      </w:pPr>
      <w:r>
        <w:t>6.3.2评选委员会按照本章第6.3.1项的规定开展评审工作。</w:t>
      </w:r>
    </w:p>
    <w:p w14:paraId="0CED5CDD">
      <w:pPr>
        <w:pStyle w:val="26"/>
        <w:ind w:firstLine="480"/>
        <w:rPr>
          <w:rFonts w:hint="default"/>
        </w:rPr>
      </w:pPr>
      <w:r>
        <w:t>评选完成后，评选委员会应向比选人提交评选报告和中选候选人名单。评选委员会推荐中选候选人的人数、提交的评选报告形式要求见比选申请人须知前附表。</w:t>
      </w:r>
    </w:p>
    <w:p w14:paraId="5AED4EA8">
      <w:pPr>
        <w:pStyle w:val="26"/>
        <w:ind w:firstLine="480"/>
        <w:rPr>
          <w:rFonts w:hint="default"/>
        </w:rPr>
      </w:pPr>
      <w:r>
        <w:t>7.合同授予</w:t>
      </w:r>
    </w:p>
    <w:p w14:paraId="3D1D7080">
      <w:pPr>
        <w:pStyle w:val="26"/>
        <w:ind w:firstLine="480"/>
        <w:rPr>
          <w:rFonts w:hint="default"/>
        </w:rPr>
      </w:pPr>
      <w:r>
        <w:t>7.1中选候选人公示</w:t>
      </w:r>
    </w:p>
    <w:p w14:paraId="5CCB110F">
      <w:pPr>
        <w:pStyle w:val="26"/>
        <w:ind w:firstLine="480"/>
        <w:rPr>
          <w:rFonts w:hint="default"/>
        </w:rPr>
      </w:pPr>
      <w:r>
        <w:t>比选人按照比选申请人须知前附表规定的公示媒介和期限公示中选候选人，公示期不得少于3个工作日，公示内容包括：中选候选人排序、名称等。</w:t>
      </w:r>
    </w:p>
    <w:p w14:paraId="7839CCEE">
      <w:pPr>
        <w:pStyle w:val="26"/>
        <w:ind w:firstLine="480"/>
        <w:rPr>
          <w:rFonts w:hint="default"/>
        </w:rPr>
      </w:pPr>
      <w:r>
        <w:t>7.2评选结果异议</w:t>
      </w:r>
    </w:p>
    <w:p w14:paraId="3AA63932">
      <w:pPr>
        <w:pStyle w:val="26"/>
        <w:ind w:firstLine="480"/>
        <w:rPr>
          <w:rFonts w:hint="default"/>
        </w:rPr>
      </w:pPr>
      <w:r>
        <w:t>比选申请人或其他利害关系人评选结果有异议的，应在中选候选人公示期间提出。比选人将在收到异议之日起3日内作出答复；作出答复前，将暂停比选活动。</w:t>
      </w:r>
    </w:p>
    <w:p w14:paraId="2E32647E">
      <w:pPr>
        <w:pStyle w:val="26"/>
        <w:ind w:firstLine="480"/>
        <w:rPr>
          <w:rFonts w:hint="default"/>
        </w:rPr>
      </w:pPr>
      <w:r>
        <w:t>7.3中选候选人履约能力审查</w:t>
      </w:r>
    </w:p>
    <w:p w14:paraId="56BC10B0">
      <w:pPr>
        <w:pStyle w:val="26"/>
        <w:ind w:firstLine="480"/>
        <w:rPr>
          <w:rFonts w:hint="default"/>
        </w:rPr>
      </w:pPr>
      <w:r>
        <w:t>中选候选人的经营、财务状况发生较大变化或存在违法行为，比选人认为可能影响其履约能力的，将在发出中选通知书前提请原评选委员会按照比选文件规定的标准和方法进行审查确认。</w:t>
      </w:r>
    </w:p>
    <w:p w14:paraId="6EC1CD75">
      <w:pPr>
        <w:pStyle w:val="26"/>
        <w:ind w:firstLine="480"/>
        <w:rPr>
          <w:rFonts w:hint="default"/>
        </w:rPr>
      </w:pPr>
      <w:r>
        <w:t>7.4定标</w:t>
      </w:r>
    </w:p>
    <w:p w14:paraId="16CD4247">
      <w:pPr>
        <w:pStyle w:val="26"/>
        <w:ind w:firstLine="480"/>
        <w:rPr>
          <w:rFonts w:hint="default"/>
        </w:rPr>
      </w:pPr>
      <w:r>
        <w:t>按照比选申请人须知前附表的规定，比选人依法确定中选人。</w:t>
      </w:r>
    </w:p>
    <w:p w14:paraId="1854C279">
      <w:pPr>
        <w:pStyle w:val="26"/>
        <w:ind w:firstLine="480"/>
        <w:rPr>
          <w:rFonts w:hint="default"/>
        </w:rPr>
      </w:pPr>
      <w:r>
        <w:t>7.5中选通知</w:t>
      </w:r>
    </w:p>
    <w:p w14:paraId="0E546117">
      <w:pPr>
        <w:pStyle w:val="26"/>
        <w:ind w:firstLine="480"/>
        <w:rPr>
          <w:rFonts w:hint="default"/>
        </w:rPr>
      </w:pPr>
      <w:r>
        <w:t>在本章第3.3款规定的比选有效期内，比选人以比选申请人须知前附表规定的形式向中选人发出中选通知书，同时将中选结果通知未中选的比选申请人。</w:t>
      </w:r>
    </w:p>
    <w:p w14:paraId="40B65CB3">
      <w:pPr>
        <w:pStyle w:val="26"/>
        <w:ind w:firstLine="480"/>
        <w:rPr>
          <w:rFonts w:hint="default"/>
        </w:rPr>
      </w:pPr>
      <w:r>
        <w:t>7.6技术成果经济补偿</w:t>
      </w:r>
    </w:p>
    <w:p w14:paraId="053BFC30">
      <w:pPr>
        <w:pStyle w:val="26"/>
        <w:ind w:firstLine="480"/>
        <w:rPr>
          <w:rFonts w:hint="default"/>
        </w:rPr>
      </w:pPr>
      <w:r>
        <w:t>不补偿</w:t>
      </w:r>
    </w:p>
    <w:p w14:paraId="669B0F9E">
      <w:pPr>
        <w:pStyle w:val="26"/>
        <w:ind w:firstLine="480"/>
        <w:rPr>
          <w:rFonts w:hint="default"/>
        </w:rPr>
      </w:pPr>
      <w:r>
        <w:t>7.7履约保证金（若有）</w:t>
      </w:r>
    </w:p>
    <w:p w14:paraId="39A25930">
      <w:pPr>
        <w:pStyle w:val="26"/>
        <w:ind w:firstLine="480"/>
        <w:rPr>
          <w:rFonts w:hint="default"/>
        </w:rPr>
      </w:pPr>
      <w:r>
        <w:t>7.7.1在签订合同前，中选人应按比选申请人须知前附表规定的形式、金额和比选文件第四章“合同条款及格式”规定的或事先经过比选人书面认可的履约保证金格式向比选人提交履约保证金（若有）。除比选申请人须知前附表另有规定外，履约保证金为签约合同价的10%。</w:t>
      </w:r>
    </w:p>
    <w:p w14:paraId="0210C304">
      <w:pPr>
        <w:pStyle w:val="26"/>
        <w:ind w:firstLine="480"/>
        <w:rPr>
          <w:rFonts w:hint="default"/>
        </w:rPr>
      </w:pPr>
      <w:r>
        <w:t>采用银行保函时，应由符合比选申请人须知前附表规定级别的银行开具，所需的费用由中选人承担，中选人应保证银行保函有效。</w:t>
      </w:r>
    </w:p>
    <w:p w14:paraId="36458B12">
      <w:pPr>
        <w:pStyle w:val="26"/>
        <w:ind w:firstLine="480"/>
        <w:rPr>
          <w:rFonts w:hint="default"/>
        </w:rPr>
      </w:pPr>
      <w:r>
        <w:t>7.7.2中选人不能按本章第7.7.1项要求提交履约保证金的，视为放弃中选，其比选保证金不予退还，给比选人造成的损失超过比选保证金数额的，中选人还应对超过部分予以赔偿。</w:t>
      </w:r>
    </w:p>
    <w:p w14:paraId="77D3B18D">
      <w:pPr>
        <w:pStyle w:val="26"/>
        <w:ind w:firstLine="480"/>
        <w:rPr>
          <w:rFonts w:hint="default"/>
        </w:rPr>
      </w:pPr>
      <w:r>
        <w:t>7.8签订合同</w:t>
      </w:r>
    </w:p>
    <w:p w14:paraId="6D9D800A">
      <w:pPr>
        <w:pStyle w:val="26"/>
        <w:ind w:firstLine="480"/>
        <w:rPr>
          <w:rFonts w:hint="default"/>
        </w:rPr>
      </w:pPr>
      <w:r>
        <w:t>7.8.1比选人和中选人应在中选通知书发出之日起30日内，根据比选文件和中选人的比选申请文件订立书面合同。中选人无正当理由拒签合同，在签订合同时向比选人提出附加条件，或不按照比选文件要求提交履约保证金的，比选人取消其中选资格，其比选保证金不予退还；给比选人造成的损失超过比选保证金数额的，中选人还应对超过部分予以赔偿。</w:t>
      </w:r>
    </w:p>
    <w:p w14:paraId="79567955">
      <w:pPr>
        <w:pStyle w:val="26"/>
        <w:ind w:firstLine="480"/>
        <w:rPr>
          <w:rFonts w:hint="default"/>
        </w:rPr>
      </w:pPr>
      <w:r>
        <w:t>7.8.2发出中选通知书后，比选人无正当理由拒签合同，或在签订合同时向中选人提出附加条件的，比选人向中选人退还比选保证金；给中选人造成损失的，还应赔偿损失。</w:t>
      </w:r>
    </w:p>
    <w:p w14:paraId="71BF06DB">
      <w:pPr>
        <w:pStyle w:val="26"/>
        <w:ind w:firstLine="480"/>
        <w:rPr>
          <w:rFonts w:hint="default"/>
        </w:rPr>
      </w:pPr>
      <w:r>
        <w:t>7.8.3签约合同价的确定原则如下：</w:t>
      </w:r>
    </w:p>
    <w:p w14:paraId="7F4DCA17">
      <w:pPr>
        <w:pStyle w:val="26"/>
        <w:ind w:firstLine="480"/>
        <w:rPr>
          <w:rFonts w:hint="default"/>
        </w:rPr>
      </w:pPr>
      <w:r>
        <w:t>详见比选申请人须知前附表。</w:t>
      </w:r>
    </w:p>
    <w:p w14:paraId="284D78DC">
      <w:pPr>
        <w:pStyle w:val="26"/>
        <w:ind w:firstLine="480"/>
        <w:rPr>
          <w:rFonts w:hint="default"/>
        </w:rPr>
      </w:pPr>
      <w:r>
        <w:t>7.8.4签订合同事项</w:t>
      </w:r>
    </w:p>
    <w:p w14:paraId="0C240DBC">
      <w:pPr>
        <w:pStyle w:val="26"/>
        <w:ind w:firstLine="480"/>
        <w:rPr>
          <w:rFonts w:hint="default"/>
        </w:rPr>
      </w:pPr>
      <w:r>
        <w:t>（1）比选人和中选人在签订合同协议书的同时需按照本比选文件规定的格式（必要时可经合同谈判后修改）和要求签订比选文件合同附件格式所列相关合同，明确双方的权利和义务以及应承担的违约责任。</w:t>
      </w:r>
    </w:p>
    <w:p w14:paraId="4F2D88AD">
      <w:pPr>
        <w:pStyle w:val="26"/>
        <w:ind w:firstLine="480"/>
        <w:rPr>
          <w:rFonts w:hint="default"/>
        </w:rPr>
      </w:pPr>
      <w:r>
        <w:t>（2）合同文件的制作及费用由中选人负责。合同文件的份数根据需要由比选人与中选人协商确定。在合同协议书签订之前，比选申请文件和中选通知书作为合同协议书的组成部分，始终对双方具有约束。</w:t>
      </w:r>
    </w:p>
    <w:p w14:paraId="3EEC3D6A">
      <w:pPr>
        <w:pStyle w:val="26"/>
        <w:ind w:firstLine="480"/>
        <w:rPr>
          <w:rFonts w:hint="default"/>
        </w:rPr>
      </w:pPr>
      <w:r>
        <w:t>8.纪律和监督</w:t>
      </w:r>
    </w:p>
    <w:p w14:paraId="5222D093">
      <w:pPr>
        <w:pStyle w:val="26"/>
        <w:ind w:firstLine="480"/>
        <w:rPr>
          <w:rFonts w:hint="default"/>
        </w:rPr>
      </w:pPr>
      <w:r>
        <w:t>8.1对比选人的纪律要求</w:t>
      </w:r>
    </w:p>
    <w:p w14:paraId="12E1CC5F">
      <w:pPr>
        <w:pStyle w:val="26"/>
        <w:ind w:firstLine="480"/>
        <w:rPr>
          <w:rFonts w:hint="default"/>
        </w:rPr>
      </w:pPr>
      <w:r>
        <w:t>比选人不得泄漏比选活动中应当保密的情况和资料，不得与比选申请人串通损害国家利益、社会公共利益或者他人合法权益。</w:t>
      </w:r>
    </w:p>
    <w:p w14:paraId="4CCF5484">
      <w:pPr>
        <w:pStyle w:val="26"/>
        <w:ind w:firstLine="480"/>
        <w:rPr>
          <w:rFonts w:hint="default"/>
        </w:rPr>
      </w:pPr>
      <w:r>
        <w:t>8.2对比选申请人的纪律要求</w:t>
      </w:r>
    </w:p>
    <w:p w14:paraId="334B9D06">
      <w:pPr>
        <w:pStyle w:val="26"/>
        <w:ind w:firstLine="480"/>
        <w:rPr>
          <w:rFonts w:hint="default"/>
        </w:rPr>
      </w:pPr>
      <w:r>
        <w:t>比选申请人不得相互串通比选或者与比选人串通比选，不得向比选人或者评选委员会成员行贿谋取中选，不得以他人名义比选或者以其他方式弄虚作假骗取中选；比选申请人不得以任何方式干扰、影响评选工作。</w:t>
      </w:r>
    </w:p>
    <w:p w14:paraId="7E466D64">
      <w:pPr>
        <w:pStyle w:val="26"/>
        <w:ind w:firstLine="480"/>
        <w:rPr>
          <w:rFonts w:hint="default"/>
        </w:rPr>
      </w:pPr>
      <w:r>
        <w:t>8.3对评选委员会成员的纪律要求</w:t>
      </w:r>
    </w:p>
    <w:p w14:paraId="78551146">
      <w:pPr>
        <w:pStyle w:val="26"/>
        <w:ind w:firstLine="480"/>
        <w:rPr>
          <w:rFonts w:hint="default"/>
        </w:rPr>
      </w:pPr>
      <w:r>
        <w:t>评选委员会成员不得收受他人的财物或者其他好处，不得向他人透漏对比选申请文件的评审和比较、中选候选人的推荐情况以及评选有关的其他情况。在评选活动中，评选委员会成员应当客观、公正地履行职责，遵守职业道德，不得擅离职守，影响评选程序正常进行，不得使用第三章“评选办法”中没有规定的评审因素和标准进行评选。</w:t>
      </w:r>
    </w:p>
    <w:p w14:paraId="6278E8DC">
      <w:pPr>
        <w:pStyle w:val="26"/>
        <w:ind w:firstLine="480"/>
        <w:rPr>
          <w:rFonts w:hint="default"/>
        </w:rPr>
      </w:pPr>
      <w:r>
        <w:t>8.4对与评选活动有关的工作人员的纪律要求</w:t>
      </w:r>
    </w:p>
    <w:p w14:paraId="3BAC7D49">
      <w:pPr>
        <w:pStyle w:val="26"/>
        <w:ind w:firstLine="480"/>
        <w:rPr>
          <w:rFonts w:hint="default"/>
        </w:rPr>
      </w:pPr>
      <w:r>
        <w:t>与评选活动有关的工作人员不得收受他人的财物或者其他好处，不得向他人透露对比选申请文件的评审和比较、中选候选人的推荐情况以及评选有关的其他情况。在评选活动中，与评选活动有关的工作人员不得擅离职守，影响评选程序正常进行。</w:t>
      </w:r>
    </w:p>
    <w:p w14:paraId="7FE52A23">
      <w:pPr>
        <w:pStyle w:val="26"/>
        <w:ind w:firstLine="480"/>
        <w:rPr>
          <w:rFonts w:hint="default"/>
        </w:rPr>
      </w:pPr>
      <w:r>
        <w:t>8.5投诉</w:t>
      </w:r>
    </w:p>
    <w:p w14:paraId="06D2C103">
      <w:pPr>
        <w:pStyle w:val="26"/>
        <w:ind w:firstLine="480"/>
        <w:rPr>
          <w:rFonts w:hint="default"/>
        </w:rPr>
      </w:pPr>
      <w:r>
        <w:t>8.5.1比选申请人或其他利害关系人认为比选活动不符合法律、行政法规规定的，可以自知道或应当知道之日起10日内向有关行政监督部门投诉。投诉应有明确的请求和必要的证明材料。</w:t>
      </w:r>
    </w:p>
    <w:p w14:paraId="0E4F4CE9">
      <w:pPr>
        <w:pStyle w:val="26"/>
        <w:ind w:firstLine="480"/>
        <w:rPr>
          <w:rFonts w:hint="default"/>
        </w:rPr>
      </w:pPr>
      <w:r>
        <w:t>行政监督部门的联系方式见比选申请人须知前附表。</w:t>
      </w:r>
    </w:p>
    <w:p w14:paraId="4DD032B7">
      <w:pPr>
        <w:pStyle w:val="26"/>
        <w:ind w:firstLine="480"/>
        <w:rPr>
          <w:rFonts w:hint="default"/>
        </w:rPr>
      </w:pPr>
      <w:r>
        <w:t>9.是否电子比选</w:t>
      </w:r>
    </w:p>
    <w:p w14:paraId="3B31560E">
      <w:pPr>
        <w:pStyle w:val="26"/>
        <w:ind w:firstLine="480"/>
        <w:rPr>
          <w:rFonts w:hint="default"/>
        </w:rPr>
      </w:pPr>
      <w:r>
        <w:t>见比选申请人须知前附表</w:t>
      </w:r>
    </w:p>
    <w:p w14:paraId="02BBC0BC">
      <w:pPr>
        <w:pStyle w:val="26"/>
        <w:ind w:firstLine="480"/>
        <w:rPr>
          <w:rFonts w:hint="default"/>
        </w:rPr>
      </w:pPr>
      <w:r>
        <w:t>10.需要补充的其他内容</w:t>
      </w:r>
    </w:p>
    <w:p w14:paraId="781441DC">
      <w:pPr>
        <w:pStyle w:val="26"/>
        <w:ind w:firstLine="480"/>
        <w:rPr>
          <w:rFonts w:hint="default"/>
        </w:rPr>
      </w:pPr>
      <w:r>
        <w:t xml:space="preserve">10.1自领取比选文件之日起，比选申请人应保证其提供的联系方式（电话、传真、电子邮件）一直有效，以便及时收到比选人发出的函件（比选文件的澄清、修改等），并应及时向比选人反馈信息，否则比选人不承担由此引起的一切后果。 </w:t>
      </w:r>
    </w:p>
    <w:p w14:paraId="7EF358B5">
      <w:pPr>
        <w:pStyle w:val="26"/>
        <w:ind w:firstLine="480"/>
        <w:rPr>
          <w:rFonts w:hint="default"/>
        </w:rPr>
      </w:pPr>
      <w:r>
        <w:t>需要补充的其他内容：见比选申请人须知前附表。</w:t>
      </w:r>
    </w:p>
    <w:p w14:paraId="60CB5D63">
      <w:pPr>
        <w:pStyle w:val="26"/>
        <w:ind w:firstLine="480"/>
        <w:rPr>
          <w:rFonts w:hint="default"/>
        </w:rPr>
        <w:sectPr>
          <w:footerReference r:id="rId11" w:type="default"/>
          <w:pgSz w:w="11849" w:h="16781"/>
          <w:pgMar w:top="1440" w:right="1083" w:bottom="1440" w:left="1083" w:header="907" w:footer="964" w:gutter="0"/>
          <w:pgNumType w:start="1"/>
          <w:cols w:space="720" w:num="1"/>
          <w:docGrid w:type="lines" w:linePitch="312" w:charSpace="0"/>
        </w:sectPr>
      </w:pPr>
    </w:p>
    <w:p w14:paraId="2799684E">
      <w:pPr>
        <w:pStyle w:val="16"/>
        <w:spacing w:line="360" w:lineRule="auto"/>
        <w:ind w:left="0" w:leftChars="0"/>
        <w:rPr>
          <w:rFonts w:ascii="宋体" w:hAnsi="宋体" w:cs="宋体"/>
          <w:sz w:val="24"/>
          <w:szCs w:val="24"/>
        </w:rPr>
      </w:pPr>
    </w:p>
    <w:p w14:paraId="58FB7824">
      <w:pPr>
        <w:adjustRightInd w:val="0"/>
        <w:snapToGrid w:val="0"/>
        <w:rPr>
          <w:rFonts w:ascii="宋体" w:hAnsi="宋体" w:cs="宋体"/>
          <w:bCs/>
          <w:color w:val="000000"/>
        </w:rPr>
      </w:pPr>
      <w:r>
        <w:rPr>
          <w:rFonts w:hint="eastAsia" w:ascii="宋体" w:hAnsi="宋体" w:cs="宋体"/>
          <w:color w:val="000000"/>
        </w:rPr>
        <w:t>附件一 开标记录表</w:t>
      </w:r>
    </w:p>
    <w:p w14:paraId="5E65F77F">
      <w:pPr>
        <w:pStyle w:val="134"/>
        <w:adjustRightInd w:val="0"/>
        <w:snapToGrid w:val="0"/>
        <w:ind w:firstLine="482"/>
        <w:rPr>
          <w:rFonts w:ascii="宋体" w:hAnsi="宋体" w:cs="宋体"/>
          <w:color w:val="000000"/>
        </w:rPr>
      </w:pPr>
    </w:p>
    <w:tbl>
      <w:tblPr>
        <w:tblStyle w:val="18"/>
        <w:tblW w:w="4998" w:type="pct"/>
        <w:tblInd w:w="0" w:type="dxa"/>
        <w:tblLayout w:type="fixed"/>
        <w:tblCellMar>
          <w:top w:w="0" w:type="dxa"/>
          <w:left w:w="108" w:type="dxa"/>
          <w:bottom w:w="0" w:type="dxa"/>
          <w:right w:w="108" w:type="dxa"/>
        </w:tblCellMar>
      </w:tblPr>
      <w:tblGrid>
        <w:gridCol w:w="2836"/>
        <w:gridCol w:w="2381"/>
        <w:gridCol w:w="2317"/>
        <w:gridCol w:w="1696"/>
        <w:gridCol w:w="665"/>
      </w:tblGrid>
      <w:tr w14:paraId="5884A8EC">
        <w:tblPrEx>
          <w:tblCellMar>
            <w:top w:w="0" w:type="dxa"/>
            <w:left w:w="108" w:type="dxa"/>
            <w:bottom w:w="0" w:type="dxa"/>
            <w:right w:w="108" w:type="dxa"/>
          </w:tblCellMar>
        </w:tblPrEx>
        <w:trPr>
          <w:trHeight w:val="435" w:hRule="atLeast"/>
        </w:trPr>
        <w:tc>
          <w:tcPr>
            <w:tcW w:w="2836" w:type="dxa"/>
            <w:tcBorders>
              <w:top w:val="nil"/>
              <w:left w:val="nil"/>
              <w:bottom w:val="nil"/>
              <w:right w:val="nil"/>
            </w:tcBorders>
            <w:vAlign w:val="center"/>
          </w:tcPr>
          <w:p w14:paraId="7DD7B103">
            <w:pPr>
              <w:textAlignment w:val="center"/>
              <w:rPr>
                <w:rFonts w:ascii="宋体" w:hAnsi="宋体" w:cs="宋体"/>
                <w:color w:val="000000"/>
                <w:sz w:val="18"/>
                <w:szCs w:val="18"/>
              </w:rPr>
            </w:pPr>
            <w:r>
              <w:rPr>
                <w:rFonts w:hint="eastAsia" w:ascii="宋体" w:hAnsi="宋体" w:cs="宋体"/>
                <w:color w:val="000000"/>
                <w:sz w:val="18"/>
                <w:szCs w:val="18"/>
                <w:lang w:bidi="ar"/>
              </w:rPr>
              <w:t>项目名称：</w:t>
            </w:r>
          </w:p>
        </w:tc>
        <w:tc>
          <w:tcPr>
            <w:tcW w:w="2381" w:type="dxa"/>
            <w:tcBorders>
              <w:top w:val="nil"/>
              <w:left w:val="nil"/>
              <w:bottom w:val="nil"/>
              <w:right w:val="nil"/>
            </w:tcBorders>
            <w:vAlign w:val="center"/>
          </w:tcPr>
          <w:p w14:paraId="085F7F6B">
            <w:pPr>
              <w:rPr>
                <w:rFonts w:ascii="宋体" w:hAnsi="宋体" w:cs="宋体"/>
                <w:color w:val="000000"/>
                <w:sz w:val="18"/>
                <w:szCs w:val="18"/>
              </w:rPr>
            </w:pPr>
          </w:p>
        </w:tc>
        <w:tc>
          <w:tcPr>
            <w:tcW w:w="2317" w:type="dxa"/>
            <w:tcBorders>
              <w:top w:val="nil"/>
              <w:left w:val="nil"/>
              <w:bottom w:val="nil"/>
              <w:right w:val="nil"/>
            </w:tcBorders>
            <w:vAlign w:val="center"/>
          </w:tcPr>
          <w:p w14:paraId="6FE8E855">
            <w:pPr>
              <w:rPr>
                <w:rFonts w:ascii="宋体" w:hAnsi="宋体" w:cs="宋体"/>
                <w:color w:val="000000"/>
                <w:sz w:val="18"/>
                <w:szCs w:val="18"/>
              </w:rPr>
            </w:pPr>
          </w:p>
        </w:tc>
        <w:tc>
          <w:tcPr>
            <w:tcW w:w="1696" w:type="dxa"/>
            <w:tcBorders>
              <w:top w:val="nil"/>
              <w:left w:val="nil"/>
              <w:bottom w:val="nil"/>
              <w:right w:val="nil"/>
            </w:tcBorders>
            <w:vAlign w:val="center"/>
          </w:tcPr>
          <w:p w14:paraId="73ED0E71">
            <w:pPr>
              <w:rPr>
                <w:rFonts w:ascii="宋体" w:hAnsi="宋体" w:cs="宋体"/>
                <w:color w:val="000000"/>
                <w:sz w:val="18"/>
                <w:szCs w:val="18"/>
              </w:rPr>
            </w:pPr>
          </w:p>
        </w:tc>
        <w:tc>
          <w:tcPr>
            <w:tcW w:w="665" w:type="dxa"/>
            <w:tcBorders>
              <w:top w:val="nil"/>
              <w:left w:val="nil"/>
              <w:bottom w:val="nil"/>
              <w:right w:val="nil"/>
            </w:tcBorders>
            <w:vAlign w:val="center"/>
          </w:tcPr>
          <w:p w14:paraId="7CEE52E4">
            <w:pPr>
              <w:jc w:val="center"/>
              <w:rPr>
                <w:rFonts w:ascii="宋体" w:hAnsi="宋体" w:cs="宋体"/>
                <w:color w:val="000000"/>
                <w:sz w:val="18"/>
                <w:szCs w:val="18"/>
              </w:rPr>
            </w:pPr>
          </w:p>
        </w:tc>
      </w:tr>
      <w:tr w14:paraId="085F032B">
        <w:tblPrEx>
          <w:tblCellMar>
            <w:top w:w="0" w:type="dxa"/>
            <w:left w:w="108" w:type="dxa"/>
            <w:bottom w:w="0" w:type="dxa"/>
            <w:right w:w="108" w:type="dxa"/>
          </w:tblCellMar>
        </w:tblPrEx>
        <w:trPr>
          <w:trHeight w:val="435" w:hRule="atLeast"/>
        </w:trPr>
        <w:tc>
          <w:tcPr>
            <w:tcW w:w="5217" w:type="dxa"/>
            <w:gridSpan w:val="2"/>
            <w:tcBorders>
              <w:top w:val="nil"/>
              <w:left w:val="nil"/>
              <w:bottom w:val="single" w:color="000000" w:sz="4" w:space="0"/>
              <w:right w:val="nil"/>
            </w:tcBorders>
            <w:vAlign w:val="center"/>
          </w:tcPr>
          <w:p w14:paraId="7FF5CF2E">
            <w:pPr>
              <w:textAlignment w:val="center"/>
              <w:rPr>
                <w:rFonts w:ascii="宋体" w:hAnsi="宋体" w:cs="宋体"/>
                <w:color w:val="000000"/>
                <w:sz w:val="18"/>
                <w:szCs w:val="18"/>
              </w:rPr>
            </w:pPr>
            <w:r>
              <w:rPr>
                <w:rFonts w:hint="eastAsia" w:ascii="宋体" w:hAnsi="宋体" w:cs="宋体"/>
                <w:color w:val="000000"/>
                <w:sz w:val="18"/>
                <w:szCs w:val="18"/>
                <w:lang w:bidi="ar"/>
              </w:rPr>
              <w:t>开标时间：    年   月   日          （北京时间）</w:t>
            </w:r>
          </w:p>
        </w:tc>
        <w:tc>
          <w:tcPr>
            <w:tcW w:w="2317" w:type="dxa"/>
            <w:tcBorders>
              <w:top w:val="nil"/>
              <w:left w:val="nil"/>
              <w:bottom w:val="nil"/>
              <w:right w:val="nil"/>
            </w:tcBorders>
            <w:vAlign w:val="center"/>
          </w:tcPr>
          <w:p w14:paraId="1C5ACA27">
            <w:pPr>
              <w:rPr>
                <w:rFonts w:ascii="宋体" w:hAnsi="宋体" w:cs="宋体"/>
                <w:color w:val="000000"/>
                <w:sz w:val="18"/>
                <w:szCs w:val="18"/>
              </w:rPr>
            </w:pPr>
          </w:p>
        </w:tc>
        <w:tc>
          <w:tcPr>
            <w:tcW w:w="1696" w:type="dxa"/>
            <w:tcBorders>
              <w:top w:val="nil"/>
              <w:left w:val="nil"/>
              <w:bottom w:val="nil"/>
              <w:right w:val="nil"/>
            </w:tcBorders>
            <w:vAlign w:val="center"/>
          </w:tcPr>
          <w:p w14:paraId="2CDA663E">
            <w:pPr>
              <w:rPr>
                <w:rFonts w:ascii="宋体" w:hAnsi="宋体" w:cs="宋体"/>
                <w:color w:val="000000"/>
                <w:sz w:val="18"/>
                <w:szCs w:val="18"/>
              </w:rPr>
            </w:pPr>
          </w:p>
        </w:tc>
        <w:tc>
          <w:tcPr>
            <w:tcW w:w="665" w:type="dxa"/>
            <w:tcBorders>
              <w:top w:val="nil"/>
              <w:left w:val="nil"/>
              <w:bottom w:val="nil"/>
              <w:right w:val="nil"/>
            </w:tcBorders>
            <w:vAlign w:val="center"/>
          </w:tcPr>
          <w:p w14:paraId="3786C494">
            <w:pPr>
              <w:rPr>
                <w:rFonts w:ascii="宋体" w:hAnsi="宋体" w:cs="宋体"/>
                <w:color w:val="000000"/>
                <w:sz w:val="18"/>
                <w:szCs w:val="18"/>
              </w:rPr>
            </w:pPr>
          </w:p>
        </w:tc>
      </w:tr>
      <w:tr w14:paraId="4EDB8F46">
        <w:tblPrEx>
          <w:tblCellMar>
            <w:top w:w="0" w:type="dxa"/>
            <w:left w:w="108" w:type="dxa"/>
            <w:bottom w:w="0" w:type="dxa"/>
            <w:right w:w="108" w:type="dxa"/>
          </w:tblCellMar>
        </w:tblPrEx>
        <w:trPr>
          <w:trHeight w:val="702" w:hRule="atLeast"/>
        </w:trPr>
        <w:tc>
          <w:tcPr>
            <w:tcW w:w="2836" w:type="dxa"/>
            <w:vMerge w:val="restart"/>
            <w:tcBorders>
              <w:top w:val="single" w:color="000000" w:sz="4" w:space="0"/>
              <w:left w:val="single" w:color="000000" w:sz="4" w:space="0"/>
              <w:bottom w:val="single" w:color="000000" w:sz="4" w:space="0"/>
              <w:right w:val="single" w:color="000000" w:sz="4" w:space="0"/>
            </w:tcBorders>
            <w:vAlign w:val="center"/>
          </w:tcPr>
          <w:p w14:paraId="62B95111">
            <w:pPr>
              <w:jc w:val="center"/>
              <w:textAlignment w:val="center"/>
              <w:rPr>
                <w:rFonts w:ascii="宋体" w:hAnsi="宋体" w:cs="宋体"/>
                <w:color w:val="000000"/>
                <w:sz w:val="18"/>
                <w:szCs w:val="18"/>
              </w:rPr>
            </w:pPr>
            <w:r>
              <w:rPr>
                <w:rFonts w:hint="eastAsia" w:ascii="宋体" w:hAnsi="宋体" w:cs="宋体"/>
                <w:color w:val="000000"/>
                <w:sz w:val="18"/>
                <w:szCs w:val="18"/>
                <w:lang w:bidi="ar"/>
              </w:rPr>
              <w:t>序号</w:t>
            </w:r>
          </w:p>
        </w:tc>
        <w:tc>
          <w:tcPr>
            <w:tcW w:w="2381" w:type="dxa"/>
            <w:vMerge w:val="restart"/>
            <w:tcBorders>
              <w:top w:val="single" w:color="000000" w:sz="4" w:space="0"/>
              <w:left w:val="single" w:color="000000" w:sz="4" w:space="0"/>
              <w:bottom w:val="single" w:color="000000" w:sz="4" w:space="0"/>
              <w:right w:val="single" w:color="000000" w:sz="4" w:space="0"/>
            </w:tcBorders>
            <w:vAlign w:val="center"/>
          </w:tcPr>
          <w:p w14:paraId="2FC73654">
            <w:pPr>
              <w:jc w:val="center"/>
              <w:textAlignment w:val="center"/>
              <w:rPr>
                <w:rFonts w:ascii="宋体" w:hAnsi="宋体" w:cs="宋体"/>
                <w:color w:val="000000"/>
                <w:sz w:val="18"/>
                <w:szCs w:val="18"/>
              </w:rPr>
            </w:pPr>
            <w:r>
              <w:rPr>
                <w:rFonts w:hint="eastAsia" w:ascii="宋体" w:hAnsi="宋体" w:cs="宋体"/>
                <w:color w:val="000000"/>
                <w:sz w:val="18"/>
                <w:szCs w:val="18"/>
                <w:lang w:bidi="ar"/>
              </w:rPr>
              <w:t>比选申请人名称</w:t>
            </w:r>
          </w:p>
        </w:tc>
        <w:tc>
          <w:tcPr>
            <w:tcW w:w="2317" w:type="dxa"/>
            <w:tcBorders>
              <w:top w:val="single" w:color="000000" w:sz="4" w:space="0"/>
              <w:left w:val="single" w:color="000000" w:sz="4" w:space="0"/>
              <w:bottom w:val="single" w:color="000000" w:sz="4" w:space="0"/>
              <w:right w:val="single" w:color="000000" w:sz="4" w:space="0"/>
            </w:tcBorders>
            <w:vAlign w:val="center"/>
          </w:tcPr>
          <w:p w14:paraId="6EF94595">
            <w:pPr>
              <w:jc w:val="center"/>
              <w:textAlignment w:val="center"/>
              <w:rPr>
                <w:rFonts w:ascii="宋体" w:hAnsi="宋体" w:cs="宋体"/>
                <w:color w:val="000000"/>
                <w:sz w:val="18"/>
                <w:szCs w:val="18"/>
              </w:rPr>
            </w:pPr>
            <w:r>
              <w:rPr>
                <w:rFonts w:hint="eastAsia" w:ascii="宋体" w:hAnsi="宋体" w:cs="宋体"/>
                <w:color w:val="000000"/>
                <w:sz w:val="18"/>
                <w:szCs w:val="18"/>
                <w:lang w:bidi="ar"/>
              </w:rPr>
              <w:t>比选申请文件密封情况</w:t>
            </w:r>
          </w:p>
        </w:tc>
        <w:tc>
          <w:tcPr>
            <w:tcW w:w="1696" w:type="dxa"/>
            <w:vMerge w:val="restart"/>
            <w:tcBorders>
              <w:top w:val="single" w:color="000000" w:sz="4" w:space="0"/>
              <w:left w:val="single" w:color="000000" w:sz="4" w:space="0"/>
              <w:bottom w:val="single" w:color="000000" w:sz="4" w:space="0"/>
              <w:right w:val="single" w:color="000000" w:sz="4" w:space="0"/>
            </w:tcBorders>
            <w:vAlign w:val="center"/>
          </w:tcPr>
          <w:p w14:paraId="3EE5453C">
            <w:pPr>
              <w:jc w:val="center"/>
              <w:textAlignment w:val="center"/>
              <w:rPr>
                <w:rFonts w:ascii="宋体" w:hAnsi="宋体" w:cs="宋体"/>
                <w:color w:val="000000"/>
                <w:sz w:val="18"/>
                <w:szCs w:val="18"/>
              </w:rPr>
            </w:pPr>
            <w:r>
              <w:rPr>
                <w:rFonts w:hint="eastAsia" w:ascii="宋体" w:hAnsi="宋体" w:cs="宋体"/>
                <w:color w:val="000000"/>
                <w:sz w:val="18"/>
                <w:szCs w:val="18"/>
                <w:lang w:bidi="ar"/>
              </w:rPr>
              <w:t>比选申请人签字</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5275586B">
            <w:pPr>
              <w:jc w:val="center"/>
              <w:textAlignment w:val="center"/>
              <w:rPr>
                <w:rFonts w:ascii="宋体" w:hAnsi="宋体" w:cs="宋体"/>
                <w:color w:val="000000"/>
                <w:sz w:val="18"/>
                <w:szCs w:val="18"/>
              </w:rPr>
            </w:pPr>
            <w:r>
              <w:rPr>
                <w:rFonts w:hint="eastAsia" w:ascii="宋体" w:hAnsi="宋体" w:cs="宋体"/>
                <w:color w:val="000000"/>
                <w:sz w:val="18"/>
                <w:szCs w:val="18"/>
                <w:lang w:bidi="ar"/>
              </w:rPr>
              <w:t>备注</w:t>
            </w:r>
          </w:p>
        </w:tc>
      </w:tr>
      <w:tr w14:paraId="1563949B">
        <w:tblPrEx>
          <w:tblCellMar>
            <w:top w:w="0" w:type="dxa"/>
            <w:left w:w="108" w:type="dxa"/>
            <w:bottom w:w="0" w:type="dxa"/>
            <w:right w:w="108" w:type="dxa"/>
          </w:tblCellMar>
        </w:tblPrEx>
        <w:trPr>
          <w:trHeight w:val="702"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14:paraId="3C618D05">
            <w:pPr>
              <w:jc w:val="center"/>
              <w:rPr>
                <w:rFonts w:ascii="宋体" w:hAnsi="宋体" w:cs="宋体"/>
                <w:color w:val="000000"/>
                <w:sz w:val="18"/>
                <w:szCs w:val="18"/>
              </w:rPr>
            </w:pPr>
          </w:p>
        </w:tc>
        <w:tc>
          <w:tcPr>
            <w:tcW w:w="2381" w:type="dxa"/>
            <w:vMerge w:val="continue"/>
            <w:tcBorders>
              <w:top w:val="single" w:color="000000" w:sz="4" w:space="0"/>
              <w:left w:val="single" w:color="000000" w:sz="4" w:space="0"/>
              <w:bottom w:val="single" w:color="000000" w:sz="4" w:space="0"/>
              <w:right w:val="single" w:color="000000" w:sz="4" w:space="0"/>
            </w:tcBorders>
            <w:vAlign w:val="center"/>
          </w:tcPr>
          <w:p w14:paraId="52EA0286">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3CB9D8F6">
            <w:pPr>
              <w:jc w:val="center"/>
              <w:textAlignment w:val="center"/>
              <w:rPr>
                <w:rFonts w:ascii="宋体" w:hAnsi="宋体" w:cs="宋体"/>
                <w:color w:val="000000"/>
                <w:sz w:val="18"/>
                <w:szCs w:val="18"/>
              </w:rPr>
            </w:pPr>
            <w:r>
              <w:rPr>
                <w:rFonts w:hint="eastAsia" w:ascii="宋体" w:hAnsi="宋体" w:cs="宋体"/>
                <w:color w:val="000000"/>
                <w:sz w:val="18"/>
                <w:szCs w:val="18"/>
                <w:lang w:bidi="ar"/>
              </w:rPr>
              <w:t>(√,×)</w:t>
            </w:r>
          </w:p>
        </w:tc>
        <w:tc>
          <w:tcPr>
            <w:tcW w:w="1696" w:type="dxa"/>
            <w:vMerge w:val="continue"/>
            <w:tcBorders>
              <w:top w:val="single" w:color="000000" w:sz="4" w:space="0"/>
              <w:left w:val="single" w:color="000000" w:sz="4" w:space="0"/>
              <w:bottom w:val="single" w:color="000000" w:sz="4" w:space="0"/>
              <w:right w:val="single" w:color="000000" w:sz="4" w:space="0"/>
            </w:tcBorders>
            <w:vAlign w:val="center"/>
          </w:tcPr>
          <w:p w14:paraId="48D27DDF">
            <w:pPr>
              <w:jc w:val="center"/>
              <w:rPr>
                <w:rFonts w:ascii="宋体" w:hAnsi="宋体" w:cs="宋体"/>
                <w:color w:val="000000"/>
                <w:sz w:val="18"/>
                <w:szCs w:val="18"/>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0237ACAF">
            <w:pPr>
              <w:jc w:val="center"/>
              <w:rPr>
                <w:rFonts w:ascii="宋体" w:hAnsi="宋体" w:cs="宋体"/>
                <w:color w:val="000000"/>
                <w:sz w:val="18"/>
                <w:szCs w:val="18"/>
              </w:rPr>
            </w:pPr>
          </w:p>
        </w:tc>
      </w:tr>
      <w:tr w14:paraId="76355E57">
        <w:tblPrEx>
          <w:tblCellMar>
            <w:top w:w="0" w:type="dxa"/>
            <w:left w:w="108" w:type="dxa"/>
            <w:bottom w:w="0" w:type="dxa"/>
            <w:right w:w="108" w:type="dxa"/>
          </w:tblCellMar>
        </w:tblPrEx>
        <w:trPr>
          <w:trHeight w:val="660" w:hRule="atLeast"/>
        </w:trPr>
        <w:tc>
          <w:tcPr>
            <w:tcW w:w="2836" w:type="dxa"/>
            <w:tcBorders>
              <w:top w:val="single" w:color="000000" w:sz="4" w:space="0"/>
              <w:left w:val="single" w:color="000000" w:sz="4" w:space="0"/>
              <w:bottom w:val="single" w:color="000000" w:sz="4" w:space="0"/>
              <w:right w:val="single" w:color="000000" w:sz="4" w:space="0"/>
            </w:tcBorders>
            <w:vAlign w:val="center"/>
          </w:tcPr>
          <w:p w14:paraId="5B2A3387">
            <w:pPr>
              <w:jc w:val="center"/>
              <w:textAlignment w:val="center"/>
              <w:rPr>
                <w:rFonts w:ascii="宋体" w:hAnsi="宋体" w:cs="宋体"/>
                <w:color w:val="000000"/>
                <w:sz w:val="18"/>
                <w:szCs w:val="18"/>
              </w:rPr>
            </w:pPr>
            <w:r>
              <w:rPr>
                <w:rFonts w:hint="eastAsia" w:ascii="宋体" w:hAnsi="宋体" w:cs="宋体"/>
                <w:color w:val="000000"/>
                <w:sz w:val="18"/>
                <w:szCs w:val="18"/>
                <w:lang w:bidi="ar"/>
              </w:rPr>
              <w:t>1</w:t>
            </w:r>
          </w:p>
        </w:tc>
        <w:tc>
          <w:tcPr>
            <w:tcW w:w="2381" w:type="dxa"/>
            <w:tcBorders>
              <w:top w:val="single" w:color="000000" w:sz="4" w:space="0"/>
              <w:left w:val="single" w:color="000000" w:sz="4" w:space="0"/>
              <w:bottom w:val="single" w:color="000000" w:sz="4" w:space="0"/>
              <w:right w:val="single" w:color="000000" w:sz="4" w:space="0"/>
            </w:tcBorders>
            <w:vAlign w:val="center"/>
          </w:tcPr>
          <w:p w14:paraId="702DA293">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24F00863">
            <w:pPr>
              <w:jc w:val="center"/>
              <w:rPr>
                <w:rFonts w:ascii="宋体" w:hAnsi="宋体" w:cs="宋体"/>
                <w:b/>
                <w:bCs/>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9364EFE">
            <w:pPr>
              <w:jc w:val="center"/>
              <w:rPr>
                <w:rFonts w:ascii="宋体" w:hAnsi="宋体" w:cs="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4C93AAC">
            <w:pPr>
              <w:jc w:val="center"/>
              <w:rPr>
                <w:rFonts w:ascii="宋体" w:hAnsi="宋体" w:cs="宋体"/>
                <w:color w:val="000000"/>
                <w:sz w:val="18"/>
                <w:szCs w:val="18"/>
              </w:rPr>
            </w:pPr>
          </w:p>
        </w:tc>
      </w:tr>
      <w:tr w14:paraId="5695BBD7">
        <w:tblPrEx>
          <w:tblCellMar>
            <w:top w:w="0" w:type="dxa"/>
            <w:left w:w="108" w:type="dxa"/>
            <w:bottom w:w="0" w:type="dxa"/>
            <w:right w:w="108" w:type="dxa"/>
          </w:tblCellMar>
        </w:tblPrEx>
        <w:trPr>
          <w:trHeight w:val="660" w:hRule="atLeast"/>
        </w:trPr>
        <w:tc>
          <w:tcPr>
            <w:tcW w:w="2836" w:type="dxa"/>
            <w:tcBorders>
              <w:top w:val="single" w:color="000000" w:sz="4" w:space="0"/>
              <w:left w:val="single" w:color="000000" w:sz="4" w:space="0"/>
              <w:bottom w:val="single" w:color="000000" w:sz="4" w:space="0"/>
              <w:right w:val="single" w:color="000000" w:sz="4" w:space="0"/>
            </w:tcBorders>
            <w:vAlign w:val="center"/>
          </w:tcPr>
          <w:p w14:paraId="2507CC85">
            <w:pPr>
              <w:jc w:val="center"/>
              <w:textAlignment w:val="center"/>
              <w:rPr>
                <w:rFonts w:ascii="宋体" w:hAnsi="宋体" w:cs="宋体"/>
                <w:color w:val="000000"/>
                <w:sz w:val="18"/>
                <w:szCs w:val="18"/>
              </w:rPr>
            </w:pPr>
            <w:r>
              <w:rPr>
                <w:rFonts w:hint="eastAsia" w:ascii="宋体" w:hAnsi="宋体" w:cs="宋体"/>
                <w:color w:val="000000"/>
                <w:sz w:val="18"/>
                <w:szCs w:val="18"/>
                <w:lang w:bidi="ar"/>
              </w:rPr>
              <w:t>2</w:t>
            </w:r>
          </w:p>
        </w:tc>
        <w:tc>
          <w:tcPr>
            <w:tcW w:w="2381" w:type="dxa"/>
            <w:tcBorders>
              <w:top w:val="single" w:color="000000" w:sz="4" w:space="0"/>
              <w:left w:val="single" w:color="000000" w:sz="4" w:space="0"/>
              <w:bottom w:val="single" w:color="000000" w:sz="4" w:space="0"/>
              <w:right w:val="single" w:color="000000" w:sz="4" w:space="0"/>
            </w:tcBorders>
            <w:vAlign w:val="center"/>
          </w:tcPr>
          <w:p w14:paraId="2BB4361A">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454C3F31">
            <w:pPr>
              <w:jc w:val="center"/>
              <w:rPr>
                <w:rFonts w:ascii="宋体" w:hAnsi="宋体" w:cs="宋体"/>
                <w:b/>
                <w:bCs/>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6320BA0">
            <w:pPr>
              <w:jc w:val="center"/>
              <w:rPr>
                <w:rFonts w:ascii="宋体" w:hAnsi="宋体" w:cs="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01310A4F">
            <w:pPr>
              <w:jc w:val="center"/>
              <w:rPr>
                <w:rFonts w:ascii="宋体" w:hAnsi="宋体" w:cs="宋体"/>
                <w:color w:val="000000"/>
                <w:sz w:val="18"/>
                <w:szCs w:val="18"/>
              </w:rPr>
            </w:pPr>
          </w:p>
        </w:tc>
      </w:tr>
      <w:tr w14:paraId="45B1F354">
        <w:tblPrEx>
          <w:tblCellMar>
            <w:top w:w="0" w:type="dxa"/>
            <w:left w:w="108" w:type="dxa"/>
            <w:bottom w:w="0" w:type="dxa"/>
            <w:right w:w="108" w:type="dxa"/>
          </w:tblCellMar>
        </w:tblPrEx>
        <w:trPr>
          <w:trHeight w:val="660" w:hRule="atLeast"/>
        </w:trPr>
        <w:tc>
          <w:tcPr>
            <w:tcW w:w="2836" w:type="dxa"/>
            <w:tcBorders>
              <w:top w:val="single" w:color="000000" w:sz="4" w:space="0"/>
              <w:left w:val="single" w:color="000000" w:sz="4" w:space="0"/>
              <w:bottom w:val="single" w:color="000000" w:sz="4" w:space="0"/>
              <w:right w:val="single" w:color="000000" w:sz="4" w:space="0"/>
            </w:tcBorders>
            <w:vAlign w:val="center"/>
          </w:tcPr>
          <w:p w14:paraId="3F379AC5">
            <w:pPr>
              <w:jc w:val="center"/>
              <w:textAlignment w:val="center"/>
              <w:rPr>
                <w:rFonts w:ascii="宋体" w:hAnsi="宋体" w:cs="宋体"/>
                <w:color w:val="000000"/>
                <w:sz w:val="18"/>
                <w:szCs w:val="18"/>
              </w:rPr>
            </w:pPr>
            <w:r>
              <w:rPr>
                <w:rFonts w:hint="eastAsia" w:ascii="宋体" w:hAnsi="宋体" w:cs="宋体"/>
                <w:color w:val="000000"/>
                <w:sz w:val="18"/>
                <w:szCs w:val="18"/>
                <w:lang w:bidi="ar"/>
              </w:rPr>
              <w:t>3</w:t>
            </w:r>
          </w:p>
        </w:tc>
        <w:tc>
          <w:tcPr>
            <w:tcW w:w="2381" w:type="dxa"/>
            <w:tcBorders>
              <w:top w:val="single" w:color="000000" w:sz="4" w:space="0"/>
              <w:left w:val="single" w:color="000000" w:sz="4" w:space="0"/>
              <w:bottom w:val="single" w:color="000000" w:sz="4" w:space="0"/>
              <w:right w:val="single" w:color="000000" w:sz="4" w:space="0"/>
            </w:tcBorders>
            <w:vAlign w:val="center"/>
          </w:tcPr>
          <w:p w14:paraId="6F19C3FE">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78905AD1">
            <w:pPr>
              <w:jc w:val="center"/>
              <w:rPr>
                <w:rFonts w:ascii="宋体" w:hAnsi="宋体" w:cs="宋体"/>
                <w:b/>
                <w:bCs/>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0A2A0E18">
            <w:pPr>
              <w:jc w:val="center"/>
              <w:rPr>
                <w:rFonts w:ascii="宋体" w:hAnsi="宋体" w:cs="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AADD974">
            <w:pPr>
              <w:jc w:val="center"/>
              <w:rPr>
                <w:rFonts w:ascii="宋体" w:hAnsi="宋体" w:cs="宋体"/>
                <w:color w:val="000000"/>
                <w:sz w:val="18"/>
                <w:szCs w:val="18"/>
              </w:rPr>
            </w:pPr>
          </w:p>
        </w:tc>
      </w:tr>
      <w:tr w14:paraId="3AEFB435">
        <w:tblPrEx>
          <w:tblCellMar>
            <w:top w:w="0" w:type="dxa"/>
            <w:left w:w="108" w:type="dxa"/>
            <w:bottom w:w="0" w:type="dxa"/>
            <w:right w:w="108" w:type="dxa"/>
          </w:tblCellMar>
        </w:tblPrEx>
        <w:trPr>
          <w:trHeight w:val="660" w:hRule="atLeast"/>
        </w:trPr>
        <w:tc>
          <w:tcPr>
            <w:tcW w:w="2836" w:type="dxa"/>
            <w:tcBorders>
              <w:top w:val="single" w:color="000000" w:sz="4" w:space="0"/>
              <w:left w:val="single" w:color="000000" w:sz="4" w:space="0"/>
              <w:bottom w:val="single" w:color="000000" w:sz="4" w:space="0"/>
              <w:right w:val="single" w:color="000000" w:sz="4" w:space="0"/>
            </w:tcBorders>
            <w:vAlign w:val="center"/>
          </w:tcPr>
          <w:p w14:paraId="5862AEA5">
            <w:pPr>
              <w:jc w:val="center"/>
              <w:textAlignment w:val="center"/>
              <w:rPr>
                <w:rFonts w:ascii="宋体" w:hAnsi="宋体" w:cs="宋体"/>
                <w:color w:val="000000"/>
                <w:sz w:val="18"/>
                <w:szCs w:val="18"/>
                <w:lang w:bidi="ar"/>
              </w:rPr>
            </w:pPr>
            <w:r>
              <w:rPr>
                <w:rFonts w:hint="eastAsia" w:ascii="宋体" w:hAnsi="宋体" w:cs="宋体"/>
                <w:color w:val="000000"/>
                <w:sz w:val="18"/>
                <w:szCs w:val="18"/>
                <w:lang w:bidi="ar"/>
              </w:rPr>
              <w:t>4</w:t>
            </w:r>
          </w:p>
        </w:tc>
        <w:tc>
          <w:tcPr>
            <w:tcW w:w="2381" w:type="dxa"/>
            <w:tcBorders>
              <w:top w:val="single" w:color="000000" w:sz="4" w:space="0"/>
              <w:left w:val="single" w:color="000000" w:sz="4" w:space="0"/>
              <w:bottom w:val="single" w:color="000000" w:sz="4" w:space="0"/>
              <w:right w:val="single" w:color="000000" w:sz="4" w:space="0"/>
            </w:tcBorders>
            <w:vAlign w:val="center"/>
          </w:tcPr>
          <w:p w14:paraId="05CF874E">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4BD7CD09">
            <w:pPr>
              <w:jc w:val="center"/>
              <w:rPr>
                <w:rFonts w:ascii="宋体" w:hAnsi="宋体" w:cs="宋体"/>
                <w:b/>
                <w:bCs/>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0666AAB">
            <w:pPr>
              <w:jc w:val="center"/>
              <w:rPr>
                <w:rFonts w:ascii="宋体" w:hAnsi="宋体" w:cs="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2C1A357E">
            <w:pPr>
              <w:jc w:val="center"/>
              <w:rPr>
                <w:rFonts w:ascii="宋体" w:hAnsi="宋体" w:cs="宋体"/>
                <w:color w:val="000000"/>
                <w:sz w:val="18"/>
                <w:szCs w:val="18"/>
              </w:rPr>
            </w:pPr>
          </w:p>
        </w:tc>
      </w:tr>
      <w:tr w14:paraId="6DDCE9E6">
        <w:tblPrEx>
          <w:tblCellMar>
            <w:top w:w="0" w:type="dxa"/>
            <w:left w:w="108" w:type="dxa"/>
            <w:bottom w:w="0" w:type="dxa"/>
            <w:right w:w="108" w:type="dxa"/>
          </w:tblCellMar>
        </w:tblPrEx>
        <w:trPr>
          <w:trHeight w:val="375" w:hRule="atLeast"/>
        </w:trPr>
        <w:tc>
          <w:tcPr>
            <w:tcW w:w="9895" w:type="dxa"/>
            <w:gridSpan w:val="5"/>
            <w:tcBorders>
              <w:top w:val="nil"/>
              <w:left w:val="nil"/>
              <w:bottom w:val="nil"/>
              <w:right w:val="nil"/>
            </w:tcBorders>
            <w:vAlign w:val="center"/>
          </w:tcPr>
          <w:p w14:paraId="19413D9B">
            <w:pPr>
              <w:jc w:val="center"/>
              <w:rPr>
                <w:rFonts w:ascii="宋体" w:hAnsi="宋体" w:cs="宋体"/>
                <w:color w:val="000000"/>
                <w:sz w:val="18"/>
                <w:szCs w:val="18"/>
              </w:rPr>
            </w:pPr>
            <w:r>
              <w:rPr>
                <w:rFonts w:hint="eastAsia" w:ascii="宋体" w:hAnsi="宋体" w:cs="宋体"/>
                <w:color w:val="000000"/>
                <w:sz w:val="18"/>
                <w:szCs w:val="18"/>
                <w:lang w:bidi="ar"/>
              </w:rPr>
              <w:t>注：表中“√”表示满足比选文件要求，“×”表示不满足比选文件要求。</w:t>
            </w:r>
          </w:p>
        </w:tc>
      </w:tr>
      <w:tr w14:paraId="1C9B253B">
        <w:tblPrEx>
          <w:tblCellMar>
            <w:top w:w="0" w:type="dxa"/>
            <w:left w:w="108" w:type="dxa"/>
            <w:bottom w:w="0" w:type="dxa"/>
            <w:right w:w="108" w:type="dxa"/>
          </w:tblCellMar>
        </w:tblPrEx>
        <w:trPr>
          <w:trHeight w:val="762" w:hRule="atLeast"/>
        </w:trPr>
        <w:tc>
          <w:tcPr>
            <w:tcW w:w="9895" w:type="dxa"/>
            <w:gridSpan w:val="5"/>
            <w:tcBorders>
              <w:top w:val="nil"/>
              <w:left w:val="nil"/>
              <w:bottom w:val="nil"/>
              <w:right w:val="nil"/>
            </w:tcBorders>
            <w:vAlign w:val="center"/>
          </w:tcPr>
          <w:p w14:paraId="58B1B0B7">
            <w:pPr>
              <w:rPr>
                <w:rFonts w:ascii="宋体" w:hAnsi="宋体" w:cs="宋体"/>
                <w:color w:val="000000"/>
                <w:sz w:val="18"/>
                <w:szCs w:val="18"/>
              </w:rPr>
            </w:pPr>
            <w:r>
              <w:rPr>
                <w:rFonts w:hint="eastAsia" w:ascii="宋体" w:hAnsi="宋体" w:cs="宋体"/>
                <w:color w:val="000000"/>
                <w:sz w:val="18"/>
                <w:szCs w:val="18"/>
                <w:lang w:bidi="ar"/>
              </w:rPr>
              <w:t xml:space="preserve">启封人：                                                </w:t>
            </w:r>
          </w:p>
        </w:tc>
      </w:tr>
      <w:tr w14:paraId="5D3832B0">
        <w:tblPrEx>
          <w:tblCellMar>
            <w:top w:w="0" w:type="dxa"/>
            <w:left w:w="108" w:type="dxa"/>
            <w:bottom w:w="0" w:type="dxa"/>
            <w:right w:w="108" w:type="dxa"/>
          </w:tblCellMar>
        </w:tblPrEx>
        <w:trPr>
          <w:trHeight w:val="762" w:hRule="atLeast"/>
        </w:trPr>
        <w:tc>
          <w:tcPr>
            <w:tcW w:w="7534" w:type="dxa"/>
            <w:gridSpan w:val="3"/>
            <w:tcBorders>
              <w:top w:val="nil"/>
              <w:left w:val="nil"/>
              <w:bottom w:val="nil"/>
              <w:right w:val="nil"/>
            </w:tcBorders>
            <w:vAlign w:val="center"/>
          </w:tcPr>
          <w:p w14:paraId="00B0B693">
            <w:pPr>
              <w:rPr>
                <w:rFonts w:ascii="宋体" w:hAnsi="宋体" w:cs="宋体"/>
                <w:color w:val="000000"/>
                <w:sz w:val="18"/>
                <w:szCs w:val="18"/>
              </w:rPr>
            </w:pPr>
            <w:r>
              <w:rPr>
                <w:rFonts w:hint="eastAsia" w:ascii="宋体" w:hAnsi="宋体" w:cs="宋体"/>
                <w:color w:val="000000"/>
                <w:sz w:val="18"/>
                <w:szCs w:val="18"/>
                <w:lang w:bidi="ar"/>
              </w:rPr>
              <w:t>评审委员会全体成员：</w:t>
            </w:r>
          </w:p>
        </w:tc>
        <w:tc>
          <w:tcPr>
            <w:tcW w:w="1696" w:type="dxa"/>
            <w:tcBorders>
              <w:top w:val="nil"/>
              <w:left w:val="nil"/>
              <w:bottom w:val="nil"/>
              <w:right w:val="nil"/>
            </w:tcBorders>
            <w:vAlign w:val="center"/>
          </w:tcPr>
          <w:p w14:paraId="7CB44E65">
            <w:pPr>
              <w:textAlignment w:val="center"/>
              <w:rPr>
                <w:rFonts w:ascii="宋体" w:hAnsi="宋体" w:cs="宋体"/>
                <w:color w:val="000000"/>
                <w:sz w:val="18"/>
                <w:szCs w:val="18"/>
              </w:rPr>
            </w:pPr>
            <w:r>
              <w:rPr>
                <w:rFonts w:hint="eastAsia" w:ascii="宋体" w:hAnsi="宋体" w:cs="宋体"/>
                <w:color w:val="000000"/>
                <w:sz w:val="18"/>
                <w:szCs w:val="18"/>
                <w:lang w:bidi="ar"/>
              </w:rPr>
              <w:t>监督：</w:t>
            </w:r>
          </w:p>
        </w:tc>
        <w:tc>
          <w:tcPr>
            <w:tcW w:w="665" w:type="dxa"/>
            <w:tcBorders>
              <w:top w:val="nil"/>
              <w:left w:val="nil"/>
              <w:bottom w:val="nil"/>
              <w:right w:val="nil"/>
            </w:tcBorders>
            <w:vAlign w:val="center"/>
          </w:tcPr>
          <w:p w14:paraId="507A2CDC">
            <w:pPr>
              <w:rPr>
                <w:rFonts w:ascii="宋体" w:hAnsi="宋体" w:cs="宋体"/>
                <w:color w:val="000000"/>
                <w:sz w:val="18"/>
                <w:szCs w:val="18"/>
              </w:rPr>
            </w:pPr>
          </w:p>
        </w:tc>
      </w:tr>
    </w:tbl>
    <w:p w14:paraId="6D27A41F">
      <w:pPr>
        <w:adjustRightInd w:val="0"/>
        <w:snapToGrid w:val="0"/>
        <w:rPr>
          <w:rFonts w:ascii="宋体" w:hAnsi="宋体" w:cs="宋体"/>
          <w:color w:val="000000"/>
        </w:rPr>
      </w:pPr>
    </w:p>
    <w:p w14:paraId="124BB8B5">
      <w:pPr>
        <w:pStyle w:val="134"/>
        <w:adjustRightInd w:val="0"/>
        <w:snapToGrid w:val="0"/>
        <w:ind w:firstLine="482"/>
        <w:rPr>
          <w:rFonts w:ascii="宋体" w:hAnsi="宋体" w:cs="宋体"/>
          <w:color w:val="000000"/>
        </w:rPr>
        <w:sectPr>
          <w:pgSz w:w="11849" w:h="16781"/>
          <w:pgMar w:top="1440" w:right="1083" w:bottom="1440" w:left="1083" w:header="907" w:footer="964" w:gutter="0"/>
          <w:cols w:space="720" w:num="1"/>
          <w:docGrid w:type="lines" w:linePitch="312" w:charSpace="0"/>
        </w:sectPr>
      </w:pPr>
    </w:p>
    <w:p w14:paraId="42A75F08">
      <w:pPr>
        <w:adjustRightInd w:val="0"/>
        <w:snapToGrid w:val="0"/>
        <w:rPr>
          <w:rFonts w:ascii="宋体" w:hAnsi="宋体" w:cs="宋体"/>
          <w:bCs/>
          <w:color w:val="000000"/>
        </w:rPr>
      </w:pPr>
      <w:r>
        <w:rPr>
          <w:rFonts w:hint="eastAsia" w:ascii="宋体" w:hAnsi="宋体" w:cs="宋体"/>
          <w:color w:val="000000"/>
        </w:rPr>
        <w:t>附件二 问题澄清通知</w:t>
      </w:r>
    </w:p>
    <w:p w14:paraId="0EB293EF">
      <w:pPr>
        <w:spacing w:line="360" w:lineRule="auto"/>
        <w:jc w:val="center"/>
        <w:rPr>
          <w:szCs w:val="21"/>
        </w:rPr>
      </w:pPr>
    </w:p>
    <w:p w14:paraId="4D71CE3A">
      <w:pPr>
        <w:spacing w:line="360" w:lineRule="auto"/>
        <w:jc w:val="center"/>
        <w:rPr>
          <w:sz w:val="28"/>
          <w:szCs w:val="28"/>
        </w:rPr>
      </w:pPr>
      <w:r>
        <w:rPr>
          <w:sz w:val="28"/>
          <w:szCs w:val="28"/>
        </w:rPr>
        <w:t>问题澄清通知</w:t>
      </w:r>
    </w:p>
    <w:p w14:paraId="5F6AEEC1">
      <w:pPr>
        <w:spacing w:line="360" w:lineRule="auto"/>
        <w:ind w:firstLine="3360" w:firstLineChars="1400"/>
        <w:rPr>
          <w:szCs w:val="21"/>
          <w:u w:val="single"/>
        </w:rPr>
      </w:pPr>
      <w:r>
        <w:rPr>
          <w:szCs w:val="21"/>
        </w:rPr>
        <w:t>（编号：</w:t>
      </w:r>
      <w:r>
        <w:rPr>
          <w:szCs w:val="21"/>
          <w:u w:val="single"/>
        </w:rPr>
        <w:t xml:space="preserve">                        </w:t>
      </w:r>
      <w:r>
        <w:rPr>
          <w:szCs w:val="21"/>
        </w:rPr>
        <w:t>）</w:t>
      </w:r>
    </w:p>
    <w:p w14:paraId="66D30DBC">
      <w:pPr>
        <w:spacing w:before="312" w:beforeLines="100" w:line="480" w:lineRule="auto"/>
        <w:rPr>
          <w:szCs w:val="21"/>
        </w:rPr>
      </w:pPr>
      <w:r>
        <w:rPr>
          <w:szCs w:val="21"/>
          <w:u w:val="single"/>
        </w:rPr>
        <w:t xml:space="preserve">                 </w:t>
      </w:r>
      <w:r>
        <w:rPr>
          <w:szCs w:val="21"/>
        </w:rPr>
        <w:t>（</w:t>
      </w:r>
      <w:r>
        <w:rPr>
          <w:rFonts w:hint="eastAsia"/>
          <w:szCs w:val="21"/>
        </w:rPr>
        <w:t>比选申请</w:t>
      </w:r>
      <w:r>
        <w:rPr>
          <w:szCs w:val="21"/>
        </w:rPr>
        <w:t>人名称）：</w:t>
      </w:r>
    </w:p>
    <w:p w14:paraId="761E71D8">
      <w:pPr>
        <w:spacing w:line="480" w:lineRule="auto"/>
        <w:ind w:firstLine="480" w:firstLineChars="200"/>
        <w:rPr>
          <w:szCs w:val="21"/>
        </w:rPr>
      </w:pPr>
      <w:r>
        <w:rPr>
          <w:u w:val="single"/>
        </w:rPr>
        <w:t xml:space="preserve">              </w:t>
      </w:r>
      <w:r>
        <w:t>（项目名称）</w:t>
      </w:r>
      <w:r>
        <w:rPr>
          <w:rFonts w:hint="eastAsia"/>
        </w:rPr>
        <w:t>比选</w:t>
      </w:r>
      <w:r>
        <w:rPr>
          <w:szCs w:val="21"/>
        </w:rPr>
        <w:t>的</w:t>
      </w:r>
      <w:r>
        <w:rPr>
          <w:rFonts w:hint="eastAsia"/>
          <w:szCs w:val="21"/>
        </w:rPr>
        <w:t>评选</w:t>
      </w:r>
      <w:r>
        <w:rPr>
          <w:szCs w:val="21"/>
        </w:rPr>
        <w:t>委员会，对你方的</w:t>
      </w:r>
      <w:r>
        <w:rPr>
          <w:rFonts w:hint="eastAsia"/>
          <w:szCs w:val="21"/>
        </w:rPr>
        <w:t>比选申请</w:t>
      </w:r>
      <w:r>
        <w:rPr>
          <w:szCs w:val="21"/>
        </w:rPr>
        <w:t>文件进行了仔细的审查，现需你方对下列问题以书面形式予以澄清或说明：</w:t>
      </w:r>
    </w:p>
    <w:p w14:paraId="3729746C">
      <w:pPr>
        <w:spacing w:line="480" w:lineRule="auto"/>
        <w:rPr>
          <w:szCs w:val="21"/>
        </w:rPr>
      </w:pPr>
      <w:r>
        <w:rPr>
          <w:szCs w:val="21"/>
        </w:rPr>
        <w:t xml:space="preserve">    1.</w:t>
      </w:r>
    </w:p>
    <w:p w14:paraId="0E9E2C5B">
      <w:pPr>
        <w:spacing w:line="480" w:lineRule="auto"/>
        <w:rPr>
          <w:szCs w:val="21"/>
        </w:rPr>
      </w:pPr>
      <w:r>
        <w:rPr>
          <w:szCs w:val="21"/>
        </w:rPr>
        <w:t xml:space="preserve">    2.</w:t>
      </w:r>
    </w:p>
    <w:p w14:paraId="1D736E0A">
      <w:pPr>
        <w:spacing w:line="480" w:lineRule="auto"/>
        <w:rPr>
          <w:szCs w:val="21"/>
        </w:rPr>
      </w:pPr>
      <w:r>
        <w:rPr>
          <w:szCs w:val="21"/>
        </w:rPr>
        <w:t xml:space="preserve">     ......   </w:t>
      </w:r>
    </w:p>
    <w:p w14:paraId="4719BC77">
      <w:pPr>
        <w:spacing w:line="480" w:lineRule="auto"/>
        <w:rPr>
          <w:szCs w:val="21"/>
        </w:rPr>
      </w:pPr>
    </w:p>
    <w:p w14:paraId="04124777">
      <w:pPr>
        <w:spacing w:line="480" w:lineRule="auto"/>
        <w:ind w:firstLine="480" w:firstLineChars="200"/>
        <w:rPr>
          <w:szCs w:val="21"/>
        </w:rPr>
      </w:pPr>
      <w:r>
        <w:rPr>
          <w:szCs w:val="21"/>
        </w:rPr>
        <w:t>请将上述问题的澄清或说明于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szCs w:val="21"/>
        </w:rPr>
        <w:t>分前递交至</w:t>
      </w:r>
      <w:r>
        <w:rPr>
          <w:szCs w:val="21"/>
          <w:u w:val="single"/>
        </w:rPr>
        <w:t xml:space="preserve">      </w:t>
      </w:r>
      <w:r>
        <w:rPr>
          <w:szCs w:val="21"/>
        </w:rPr>
        <w:t>（详细地址）。</w:t>
      </w:r>
    </w:p>
    <w:p w14:paraId="760ADAEA">
      <w:pPr>
        <w:spacing w:line="360" w:lineRule="auto"/>
        <w:rPr>
          <w:szCs w:val="21"/>
        </w:rPr>
      </w:pPr>
    </w:p>
    <w:p w14:paraId="1C35E5B7">
      <w:pPr>
        <w:spacing w:line="360" w:lineRule="auto"/>
        <w:rPr>
          <w:szCs w:val="21"/>
        </w:rPr>
      </w:pPr>
    </w:p>
    <w:p w14:paraId="14C1BF26">
      <w:pPr>
        <w:spacing w:line="360" w:lineRule="auto"/>
        <w:jc w:val="right"/>
        <w:rPr>
          <w:szCs w:val="21"/>
        </w:rPr>
      </w:pPr>
      <w:r>
        <w:rPr>
          <w:rFonts w:hint="eastAsia"/>
          <w:szCs w:val="21"/>
        </w:rPr>
        <w:t>评选</w:t>
      </w:r>
      <w:r>
        <w:rPr>
          <w:szCs w:val="21"/>
        </w:rPr>
        <w:t>委员会：</w:t>
      </w:r>
      <w:r>
        <w:rPr>
          <w:szCs w:val="21"/>
          <w:u w:val="single"/>
        </w:rPr>
        <w:t xml:space="preserve">       </w:t>
      </w:r>
      <w:r>
        <w:rPr>
          <w:szCs w:val="21"/>
        </w:rPr>
        <w:t>（签字）</w:t>
      </w:r>
    </w:p>
    <w:p w14:paraId="5AAEB974">
      <w:pPr>
        <w:spacing w:line="360" w:lineRule="auto"/>
        <w:ind w:firstLine="6960" w:firstLineChars="2900"/>
        <w:jc w:val="right"/>
        <w:rPr>
          <w:szCs w:val="21"/>
        </w:rPr>
      </w:pP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 xml:space="preserve"> 日</w:t>
      </w:r>
    </w:p>
    <w:p w14:paraId="60D6D3F5">
      <w:pPr>
        <w:rPr>
          <w:szCs w:val="20"/>
        </w:rPr>
      </w:pPr>
      <w:r>
        <w:rPr>
          <w:szCs w:val="21"/>
        </w:rPr>
        <w:br w:type="page"/>
      </w:r>
      <w:bookmarkStart w:id="15" w:name="_Toc144974550"/>
      <w:bookmarkStart w:id="16" w:name="_Toc179632601"/>
      <w:bookmarkStart w:id="17" w:name="_Toc152042360"/>
      <w:bookmarkStart w:id="18" w:name="_Toc152045583"/>
      <w:r>
        <w:t>附件三：问题的澄清</w:t>
      </w:r>
      <w:bookmarkEnd w:id="15"/>
      <w:bookmarkEnd w:id="16"/>
      <w:bookmarkEnd w:id="17"/>
      <w:bookmarkEnd w:id="18"/>
    </w:p>
    <w:p w14:paraId="22109ED1">
      <w:pPr>
        <w:spacing w:line="360" w:lineRule="auto"/>
        <w:jc w:val="center"/>
        <w:rPr>
          <w:sz w:val="28"/>
          <w:szCs w:val="28"/>
        </w:rPr>
      </w:pPr>
    </w:p>
    <w:p w14:paraId="1C09179C">
      <w:pPr>
        <w:spacing w:line="360" w:lineRule="auto"/>
        <w:jc w:val="center"/>
        <w:rPr>
          <w:sz w:val="28"/>
          <w:szCs w:val="28"/>
        </w:rPr>
      </w:pPr>
      <w:r>
        <w:rPr>
          <w:sz w:val="28"/>
          <w:szCs w:val="28"/>
        </w:rPr>
        <w:t>问题的澄清</w:t>
      </w:r>
    </w:p>
    <w:p w14:paraId="1E4C8A80">
      <w:pPr>
        <w:spacing w:line="360" w:lineRule="auto"/>
        <w:jc w:val="center"/>
        <w:rPr>
          <w:szCs w:val="21"/>
        </w:rPr>
      </w:pPr>
      <w:r>
        <w:rPr>
          <w:szCs w:val="21"/>
        </w:rPr>
        <w:t>（编号：</w:t>
      </w:r>
      <w:r>
        <w:rPr>
          <w:szCs w:val="21"/>
          <w:u w:val="single"/>
        </w:rPr>
        <w:t xml:space="preserve">                        </w:t>
      </w:r>
      <w:r>
        <w:rPr>
          <w:szCs w:val="21"/>
        </w:rPr>
        <w:t>）</w:t>
      </w:r>
    </w:p>
    <w:p w14:paraId="6FD90481">
      <w:pPr>
        <w:spacing w:line="360" w:lineRule="auto"/>
        <w:jc w:val="center"/>
        <w:rPr>
          <w:szCs w:val="21"/>
        </w:rPr>
      </w:pPr>
    </w:p>
    <w:p w14:paraId="742D60B7">
      <w:pPr>
        <w:spacing w:line="360" w:lineRule="auto"/>
        <w:jc w:val="center"/>
        <w:rPr>
          <w:szCs w:val="21"/>
        </w:rPr>
      </w:pPr>
    </w:p>
    <w:p w14:paraId="4D7D88D1">
      <w:pPr>
        <w:spacing w:line="480" w:lineRule="auto"/>
        <w:rPr>
          <w:szCs w:val="21"/>
        </w:rPr>
      </w:pPr>
      <w:r>
        <w:rPr>
          <w:u w:val="single"/>
        </w:rPr>
        <w:t xml:space="preserve">              </w:t>
      </w:r>
      <w:r>
        <w:t>（项目名称）</w:t>
      </w:r>
      <w:r>
        <w:rPr>
          <w:rFonts w:hint="eastAsia"/>
        </w:rPr>
        <w:t>比选</w:t>
      </w:r>
      <w:r>
        <w:rPr>
          <w:rFonts w:hint="eastAsia"/>
          <w:szCs w:val="21"/>
        </w:rPr>
        <w:t>评选</w:t>
      </w:r>
      <w:r>
        <w:rPr>
          <w:szCs w:val="21"/>
        </w:rPr>
        <w:t>委员会：</w:t>
      </w:r>
    </w:p>
    <w:p w14:paraId="6ED62A1B">
      <w:pPr>
        <w:spacing w:before="312" w:beforeLines="100" w:line="480" w:lineRule="auto"/>
        <w:ind w:firstLine="480" w:firstLineChars="200"/>
        <w:rPr>
          <w:szCs w:val="21"/>
        </w:rPr>
      </w:pPr>
      <w:r>
        <w:rPr>
          <w:szCs w:val="21"/>
        </w:rPr>
        <w:t>问题澄清通知（编号：</w:t>
      </w:r>
      <w:r>
        <w:rPr>
          <w:szCs w:val="21"/>
          <w:u w:val="single"/>
        </w:rPr>
        <w:t xml:space="preserve">                  </w:t>
      </w:r>
      <w:r>
        <w:rPr>
          <w:szCs w:val="21"/>
        </w:rPr>
        <w:t>）已收悉，现澄清、说明如下：</w:t>
      </w:r>
    </w:p>
    <w:p w14:paraId="181CD457">
      <w:pPr>
        <w:spacing w:line="480" w:lineRule="auto"/>
        <w:rPr>
          <w:szCs w:val="21"/>
        </w:rPr>
      </w:pPr>
      <w:r>
        <w:rPr>
          <w:szCs w:val="21"/>
        </w:rPr>
        <w:t xml:space="preserve">    1.</w:t>
      </w:r>
    </w:p>
    <w:p w14:paraId="4C6C86D7">
      <w:pPr>
        <w:spacing w:line="480" w:lineRule="auto"/>
        <w:rPr>
          <w:szCs w:val="21"/>
        </w:rPr>
      </w:pPr>
      <w:r>
        <w:rPr>
          <w:szCs w:val="21"/>
        </w:rPr>
        <w:t xml:space="preserve">    2.</w:t>
      </w:r>
    </w:p>
    <w:p w14:paraId="147AD69F">
      <w:pPr>
        <w:spacing w:line="360" w:lineRule="auto"/>
        <w:rPr>
          <w:szCs w:val="21"/>
        </w:rPr>
      </w:pPr>
    </w:p>
    <w:p w14:paraId="7C9BE985">
      <w:pPr>
        <w:spacing w:line="360" w:lineRule="auto"/>
        <w:rPr>
          <w:szCs w:val="21"/>
        </w:rPr>
      </w:pPr>
      <w:r>
        <w:rPr>
          <w:szCs w:val="21"/>
        </w:rPr>
        <w:t xml:space="preserve">   .....</w:t>
      </w:r>
    </w:p>
    <w:p w14:paraId="4ADD1C9A">
      <w:pPr>
        <w:spacing w:line="360" w:lineRule="auto"/>
        <w:rPr>
          <w:szCs w:val="21"/>
        </w:rPr>
      </w:pPr>
    </w:p>
    <w:p w14:paraId="592F6AF7">
      <w:pPr>
        <w:spacing w:line="360" w:lineRule="auto"/>
        <w:rPr>
          <w:szCs w:val="21"/>
        </w:rPr>
      </w:pPr>
    </w:p>
    <w:p w14:paraId="3050E039">
      <w:pPr>
        <w:spacing w:line="360" w:lineRule="auto"/>
        <w:rPr>
          <w:szCs w:val="21"/>
        </w:rPr>
      </w:pPr>
    </w:p>
    <w:p w14:paraId="6A19CCF1">
      <w:pPr>
        <w:spacing w:line="360" w:lineRule="auto"/>
        <w:rPr>
          <w:szCs w:val="21"/>
        </w:rPr>
      </w:pPr>
    </w:p>
    <w:p w14:paraId="2D4578DD">
      <w:pPr>
        <w:spacing w:line="360" w:lineRule="auto"/>
        <w:rPr>
          <w:szCs w:val="21"/>
        </w:rPr>
      </w:pPr>
    </w:p>
    <w:p w14:paraId="38016128">
      <w:pPr>
        <w:spacing w:line="360" w:lineRule="auto"/>
        <w:rPr>
          <w:szCs w:val="21"/>
        </w:rPr>
      </w:pPr>
    </w:p>
    <w:p w14:paraId="17DD31D8">
      <w:pPr>
        <w:spacing w:line="360" w:lineRule="auto"/>
        <w:ind w:firstLine="480" w:firstLineChars="200"/>
      </w:pPr>
      <w:r>
        <w:t>上述问题澄清或说明，不改变我方</w:t>
      </w:r>
      <w:r>
        <w:rPr>
          <w:rFonts w:hint="eastAsia"/>
        </w:rPr>
        <w:t>比选申请</w:t>
      </w:r>
      <w:r>
        <w:t>文件的实质性内容，构成我方</w:t>
      </w:r>
      <w:r>
        <w:rPr>
          <w:rFonts w:hint="eastAsia"/>
        </w:rPr>
        <w:t>比选申请</w:t>
      </w:r>
      <w:r>
        <w:t>文件的组成部分。</w:t>
      </w:r>
    </w:p>
    <w:p w14:paraId="78F0A171">
      <w:pPr>
        <w:spacing w:line="360" w:lineRule="auto"/>
        <w:ind w:firstLine="4680" w:firstLineChars="1950"/>
        <w:rPr>
          <w:szCs w:val="21"/>
        </w:rPr>
      </w:pPr>
    </w:p>
    <w:p w14:paraId="673A02D1">
      <w:pPr>
        <w:spacing w:line="360" w:lineRule="auto"/>
        <w:ind w:firstLine="4680" w:firstLineChars="1950"/>
        <w:rPr>
          <w:szCs w:val="21"/>
        </w:rPr>
      </w:pPr>
    </w:p>
    <w:p w14:paraId="05B96865">
      <w:pPr>
        <w:spacing w:line="480" w:lineRule="auto"/>
        <w:jc w:val="right"/>
        <w:rPr>
          <w:szCs w:val="21"/>
        </w:rPr>
      </w:pPr>
      <w:r>
        <w:rPr>
          <w:rFonts w:hint="eastAsia"/>
          <w:szCs w:val="21"/>
        </w:rPr>
        <w:t>比选申请</w:t>
      </w:r>
      <w:r>
        <w:rPr>
          <w:szCs w:val="21"/>
        </w:rPr>
        <w:t>人：</w:t>
      </w:r>
      <w:r>
        <w:rPr>
          <w:szCs w:val="21"/>
          <w:u w:val="single"/>
        </w:rPr>
        <w:t xml:space="preserve">                       </w:t>
      </w:r>
      <w:r>
        <w:rPr>
          <w:szCs w:val="21"/>
        </w:rPr>
        <w:t>（盖单位章）</w:t>
      </w:r>
    </w:p>
    <w:p w14:paraId="2F8F027F">
      <w:pPr>
        <w:spacing w:line="480" w:lineRule="auto"/>
        <w:jc w:val="right"/>
        <w:rPr>
          <w:szCs w:val="21"/>
        </w:rPr>
      </w:pPr>
      <w:r>
        <w:rPr>
          <w:szCs w:val="21"/>
        </w:rPr>
        <w:t>法定代表人或其委托代理人：</w:t>
      </w:r>
      <w:r>
        <w:rPr>
          <w:szCs w:val="21"/>
          <w:u w:val="single"/>
        </w:rPr>
        <w:t xml:space="preserve">         </w:t>
      </w:r>
      <w:r>
        <w:rPr>
          <w:szCs w:val="21"/>
        </w:rPr>
        <w:t>（签字）</w:t>
      </w:r>
    </w:p>
    <w:p w14:paraId="7EB0404F">
      <w:pPr>
        <w:pStyle w:val="134"/>
        <w:adjustRightInd w:val="0"/>
        <w:snapToGrid w:val="0"/>
        <w:ind w:firstLine="480"/>
        <w:jc w:val="right"/>
        <w:rPr>
          <w:rFonts w:ascii="宋体" w:hAnsi="宋体" w:cs="宋体"/>
          <w:b w:val="0"/>
          <w:bCs w:val="0"/>
          <w:color w:val="000000"/>
        </w:rPr>
      </w:pPr>
      <w:r>
        <w:rPr>
          <w:b w:val="0"/>
          <w:bCs w:val="0"/>
          <w:szCs w:val="21"/>
        </w:rPr>
        <w:t xml:space="preserve"> </w:t>
      </w:r>
      <w:r>
        <w:rPr>
          <w:b w:val="0"/>
          <w:bCs w:val="0"/>
          <w:szCs w:val="21"/>
          <w:u w:val="single"/>
        </w:rPr>
        <w:t xml:space="preserve">      </w:t>
      </w:r>
      <w:r>
        <w:rPr>
          <w:b w:val="0"/>
          <w:bCs w:val="0"/>
          <w:szCs w:val="21"/>
        </w:rPr>
        <w:t>年</w:t>
      </w:r>
      <w:r>
        <w:rPr>
          <w:b w:val="0"/>
          <w:bCs w:val="0"/>
          <w:szCs w:val="21"/>
          <w:u w:val="single"/>
        </w:rPr>
        <w:t xml:space="preserve">     </w:t>
      </w:r>
      <w:r>
        <w:rPr>
          <w:b w:val="0"/>
          <w:bCs w:val="0"/>
          <w:szCs w:val="21"/>
        </w:rPr>
        <w:t xml:space="preserve"> 月</w:t>
      </w:r>
      <w:r>
        <w:rPr>
          <w:b w:val="0"/>
          <w:bCs w:val="0"/>
          <w:szCs w:val="21"/>
          <w:u w:val="single"/>
        </w:rPr>
        <w:t xml:space="preserve">     </w:t>
      </w:r>
      <w:r>
        <w:rPr>
          <w:b w:val="0"/>
          <w:bCs w:val="0"/>
          <w:szCs w:val="21"/>
        </w:rPr>
        <w:t xml:space="preserve"> 日</w:t>
      </w:r>
    </w:p>
    <w:p w14:paraId="01C645CB">
      <w:pPr>
        <w:adjustRightInd w:val="0"/>
        <w:snapToGrid w:val="0"/>
        <w:jc w:val="right"/>
        <w:rPr>
          <w:rFonts w:ascii="宋体" w:hAnsi="宋体" w:cs="宋体"/>
          <w:color w:val="000000"/>
        </w:rPr>
      </w:pPr>
    </w:p>
    <w:p w14:paraId="03D4DDE3">
      <w:pPr>
        <w:pStyle w:val="16"/>
        <w:spacing w:line="360" w:lineRule="auto"/>
        <w:ind w:left="0" w:leftChars="0"/>
        <w:rPr>
          <w:rFonts w:ascii="宋体" w:hAnsi="宋体" w:cs="宋体"/>
          <w:sz w:val="24"/>
          <w:szCs w:val="24"/>
        </w:rPr>
        <w:sectPr>
          <w:pgSz w:w="11849" w:h="16781"/>
          <w:pgMar w:top="1440" w:right="1083" w:bottom="1440" w:left="1083" w:header="907" w:footer="964" w:gutter="0"/>
          <w:cols w:space="720" w:num="1"/>
          <w:docGrid w:type="lines" w:linePitch="312" w:charSpace="0"/>
        </w:sectPr>
      </w:pPr>
    </w:p>
    <w:p w14:paraId="1E6EA275">
      <w:pPr>
        <w:adjustRightInd w:val="0"/>
        <w:snapToGrid w:val="0"/>
        <w:spacing w:line="360" w:lineRule="auto"/>
        <w:rPr>
          <w:rFonts w:ascii="宋体" w:hAnsi="宋体" w:cs="宋体"/>
          <w:bCs/>
          <w:color w:val="000000"/>
        </w:rPr>
      </w:pPr>
      <w:r>
        <w:rPr>
          <w:rFonts w:hint="eastAsia" w:ascii="宋体" w:hAnsi="宋体" w:cs="宋体"/>
          <w:color w:val="000000"/>
        </w:rPr>
        <w:t>附件四： 中选通知书</w:t>
      </w:r>
    </w:p>
    <w:p w14:paraId="04BDABC1">
      <w:pPr>
        <w:pStyle w:val="135"/>
        <w:adjustRightInd w:val="0"/>
        <w:snapToGrid w:val="0"/>
        <w:ind w:firstLine="3600" w:firstLineChars="1000"/>
        <w:rPr>
          <w:rFonts w:ascii="宋体" w:hAnsi="宋体" w:cs="宋体"/>
          <w:color w:val="000000"/>
          <w:sz w:val="36"/>
          <w:szCs w:val="36"/>
        </w:rPr>
      </w:pPr>
      <w:r>
        <w:rPr>
          <w:rFonts w:hint="eastAsia" w:ascii="宋体" w:hAnsi="宋体" w:cs="宋体"/>
          <w:color w:val="000000"/>
          <w:sz w:val="36"/>
          <w:szCs w:val="36"/>
        </w:rPr>
        <w:t>中选通知书</w:t>
      </w:r>
    </w:p>
    <w:p w14:paraId="1FDEE822">
      <w:pPr>
        <w:adjustRightInd w:val="0"/>
        <w:snapToGrid w:val="0"/>
        <w:spacing w:line="360" w:lineRule="auto"/>
        <w:rPr>
          <w:rFonts w:ascii="宋体" w:hAnsi="宋体" w:cs="宋体"/>
          <w:color w:val="000000"/>
        </w:rPr>
      </w:pPr>
    </w:p>
    <w:p w14:paraId="53DDF3AF">
      <w:pPr>
        <w:adjustRightInd w:val="0"/>
        <w:snapToGrid w:val="0"/>
        <w:spacing w:line="360" w:lineRule="auto"/>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（中选人名称）：</w:t>
      </w:r>
    </w:p>
    <w:p w14:paraId="702CD1C4">
      <w:pPr>
        <w:adjustRightInd w:val="0"/>
        <w:snapToGrid w:val="0"/>
        <w:spacing w:line="360" w:lineRule="auto"/>
        <w:rPr>
          <w:rFonts w:ascii="宋体" w:hAnsi="宋体" w:cs="宋体"/>
          <w:color w:val="000000"/>
          <w:szCs w:val="21"/>
        </w:rPr>
      </w:pPr>
    </w:p>
    <w:p w14:paraId="10D4D310">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你方于</w:t>
      </w:r>
      <w:r>
        <w:rPr>
          <w:rFonts w:hint="eastAsia" w:ascii="宋体" w:hAnsi="宋体" w:cs="宋体"/>
          <w:color w:val="000000"/>
          <w:szCs w:val="21"/>
          <w:u w:val="single"/>
        </w:rPr>
        <w:t xml:space="preserve">      </w:t>
      </w:r>
      <w:r>
        <w:rPr>
          <w:rFonts w:hint="eastAsia" w:ascii="宋体" w:hAnsi="宋体" w:cs="宋体"/>
          <w:color w:val="000000"/>
          <w:szCs w:val="21"/>
        </w:rPr>
        <w:t>（比选申请日期）所递交的</w:t>
      </w:r>
      <w:r>
        <w:rPr>
          <w:rFonts w:hint="eastAsia" w:ascii="宋体" w:hAnsi="宋体" w:cs="宋体"/>
          <w:color w:val="000000"/>
          <w:u w:val="single"/>
        </w:rPr>
        <w:t xml:space="preserve">                   </w:t>
      </w:r>
      <w:r>
        <w:rPr>
          <w:rFonts w:hint="eastAsia" w:ascii="宋体" w:hAnsi="宋体" w:cs="宋体"/>
          <w:color w:val="000000"/>
        </w:rPr>
        <w:t>（项目名称）</w:t>
      </w:r>
      <w:r>
        <w:rPr>
          <w:rFonts w:hint="eastAsia" w:ascii="宋体" w:hAnsi="宋体" w:cs="宋体"/>
          <w:color w:val="000000"/>
          <w:u w:val="single"/>
        </w:rPr>
        <w:t xml:space="preserve">         标段</w:t>
      </w:r>
      <w:r>
        <w:rPr>
          <w:rFonts w:hint="eastAsia" w:ascii="宋体" w:hAnsi="宋体" w:cs="宋体"/>
          <w:color w:val="000000"/>
          <w:szCs w:val="21"/>
        </w:rPr>
        <w:t>比选申请文件已被我方接受，被确定为中选人。</w:t>
      </w:r>
    </w:p>
    <w:p w14:paraId="6D949938">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中选价：</w:t>
      </w:r>
      <w:r>
        <w:rPr>
          <w:rFonts w:hint="eastAsia" w:ascii="宋体" w:hAnsi="宋体" w:cs="宋体"/>
          <w:color w:val="000000"/>
          <w:szCs w:val="21"/>
          <w:u w:val="single"/>
        </w:rPr>
        <w:t xml:space="preserve">       元</w:t>
      </w:r>
      <w:r>
        <w:rPr>
          <w:rFonts w:hint="eastAsia" w:ascii="宋体" w:hAnsi="宋体" w:cs="宋体"/>
          <w:color w:val="000000"/>
          <w:szCs w:val="21"/>
        </w:rPr>
        <w:t>。</w:t>
      </w:r>
    </w:p>
    <w:p w14:paraId="45AD62F9">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服务期限：</w:t>
      </w:r>
      <w:r>
        <w:rPr>
          <w:rFonts w:hint="eastAsia" w:ascii="宋体" w:hAnsi="宋体" w:cs="宋体"/>
          <w:color w:val="000000"/>
          <w:szCs w:val="21"/>
          <w:u w:val="single"/>
        </w:rPr>
        <w:t xml:space="preserve">      </w:t>
      </w:r>
      <w:r>
        <w:rPr>
          <w:rFonts w:hint="eastAsia" w:ascii="宋体" w:hAnsi="宋体" w:cs="宋体"/>
          <w:color w:val="000000"/>
          <w:szCs w:val="21"/>
        </w:rPr>
        <w:t>。</w:t>
      </w:r>
    </w:p>
    <w:p w14:paraId="7CB8265E">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试验室主任：</w:t>
      </w:r>
      <w:r>
        <w:rPr>
          <w:rFonts w:hint="eastAsia" w:ascii="宋体" w:hAnsi="宋体" w:cs="宋体"/>
          <w:color w:val="000000"/>
          <w:szCs w:val="21"/>
          <w:u w:val="single"/>
        </w:rPr>
        <w:t xml:space="preserve">          </w:t>
      </w:r>
      <w:r>
        <w:rPr>
          <w:rFonts w:hint="eastAsia" w:ascii="宋体" w:hAnsi="宋体" w:cs="宋体"/>
          <w:color w:val="000000"/>
          <w:szCs w:val="21"/>
        </w:rPr>
        <w:t>（姓名）。</w:t>
      </w:r>
    </w:p>
    <w:p w14:paraId="11554C43">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请你方在本通知书发出后的</w:t>
      </w:r>
      <w:r>
        <w:rPr>
          <w:rFonts w:hint="eastAsia" w:ascii="宋体" w:hAnsi="宋体" w:cs="宋体"/>
          <w:color w:val="000000"/>
          <w:szCs w:val="21"/>
          <w:u w:val="single"/>
        </w:rPr>
        <w:t xml:space="preserve">     </w:t>
      </w:r>
      <w:r>
        <w:rPr>
          <w:rFonts w:hint="eastAsia" w:ascii="宋体" w:hAnsi="宋体" w:cs="宋体"/>
          <w:color w:val="000000"/>
          <w:szCs w:val="21"/>
        </w:rPr>
        <w:t>日内与发包人签订合同。</w:t>
      </w:r>
    </w:p>
    <w:p w14:paraId="0492A0A8">
      <w:pPr>
        <w:adjustRightInd w:val="0"/>
        <w:snapToGrid w:val="0"/>
        <w:spacing w:line="360" w:lineRule="auto"/>
        <w:ind w:firstLine="720" w:firstLineChars="300"/>
        <w:rPr>
          <w:rFonts w:ascii="宋体" w:hAnsi="宋体" w:cs="宋体"/>
          <w:color w:val="000000"/>
          <w:szCs w:val="21"/>
        </w:rPr>
      </w:pPr>
      <w:r>
        <w:rPr>
          <w:rFonts w:hint="eastAsia" w:ascii="宋体" w:hAnsi="宋体" w:cs="宋体"/>
          <w:color w:val="000000"/>
          <w:szCs w:val="21"/>
        </w:rPr>
        <w:t>特此通知。</w:t>
      </w:r>
    </w:p>
    <w:p w14:paraId="1D9145D3">
      <w:pPr>
        <w:autoSpaceDE w:val="0"/>
        <w:autoSpaceDN w:val="0"/>
        <w:adjustRightInd w:val="0"/>
        <w:snapToGrid w:val="0"/>
        <w:spacing w:line="360" w:lineRule="auto"/>
        <w:rPr>
          <w:rFonts w:ascii="宋体" w:hAnsi="宋体" w:cs="宋体"/>
          <w:color w:val="000000"/>
          <w:szCs w:val="21"/>
        </w:rPr>
      </w:pPr>
    </w:p>
    <w:p w14:paraId="08DEE332">
      <w:pPr>
        <w:adjustRightInd w:val="0"/>
        <w:snapToGrid w:val="0"/>
        <w:spacing w:line="360" w:lineRule="auto"/>
        <w:rPr>
          <w:rFonts w:ascii="宋体" w:hAnsi="宋体" w:cs="宋体"/>
          <w:color w:val="000000"/>
          <w:szCs w:val="21"/>
        </w:rPr>
      </w:pPr>
    </w:p>
    <w:p w14:paraId="103C7067">
      <w:pPr>
        <w:adjustRightInd w:val="0"/>
        <w:snapToGrid w:val="0"/>
        <w:spacing w:line="360" w:lineRule="auto"/>
        <w:rPr>
          <w:rFonts w:ascii="宋体" w:hAnsi="宋体" w:cs="宋体"/>
          <w:color w:val="000000"/>
          <w:szCs w:val="21"/>
        </w:rPr>
      </w:pPr>
    </w:p>
    <w:p w14:paraId="20A6742E">
      <w:pPr>
        <w:adjustRightInd w:val="0"/>
        <w:snapToGrid w:val="0"/>
        <w:spacing w:line="360" w:lineRule="auto"/>
        <w:rPr>
          <w:rFonts w:ascii="宋体" w:hAnsi="宋体" w:cs="宋体"/>
          <w:color w:val="000000"/>
          <w:szCs w:val="21"/>
        </w:rPr>
      </w:pPr>
    </w:p>
    <w:p w14:paraId="35F09561">
      <w:pPr>
        <w:adjustRightInd w:val="0"/>
        <w:snapToGrid w:val="0"/>
        <w:spacing w:line="360" w:lineRule="auto"/>
        <w:jc w:val="right"/>
        <w:rPr>
          <w:rFonts w:ascii="宋体" w:hAnsi="宋体" w:cs="宋体"/>
          <w:color w:val="000000"/>
          <w:szCs w:val="21"/>
        </w:rPr>
      </w:pPr>
    </w:p>
    <w:p w14:paraId="7F6EB531">
      <w:pPr>
        <w:adjustRightInd w:val="0"/>
        <w:snapToGrid w:val="0"/>
        <w:spacing w:line="360" w:lineRule="auto"/>
        <w:ind w:firstLine="5040" w:firstLineChars="2100"/>
        <w:rPr>
          <w:rFonts w:ascii="宋体" w:hAnsi="宋体" w:cs="宋体"/>
          <w:color w:val="000000"/>
          <w:szCs w:val="21"/>
        </w:rPr>
      </w:pPr>
      <w:r>
        <w:rPr>
          <w:rFonts w:hint="eastAsia" w:ascii="宋体" w:hAnsi="宋体" w:cs="宋体"/>
          <w:color w:val="000000"/>
          <w:szCs w:val="21"/>
        </w:rPr>
        <w:t>比选人：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1270596B">
      <w:pPr>
        <w:adjustRightInd w:val="0"/>
        <w:snapToGrid w:val="0"/>
        <w:spacing w:line="360" w:lineRule="auto"/>
        <w:ind w:firstLine="6480" w:firstLineChars="2700"/>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 xml:space="preserve"> 月</w:t>
      </w:r>
      <w:r>
        <w:rPr>
          <w:rFonts w:hint="eastAsia" w:ascii="宋体" w:hAnsi="宋体" w:cs="宋体"/>
          <w:color w:val="000000"/>
          <w:szCs w:val="21"/>
          <w:u w:val="single"/>
        </w:rPr>
        <w:t xml:space="preserve">     </w:t>
      </w:r>
      <w:r>
        <w:rPr>
          <w:rFonts w:hint="eastAsia" w:ascii="宋体" w:hAnsi="宋体" w:cs="宋体"/>
          <w:color w:val="000000"/>
          <w:szCs w:val="21"/>
        </w:rPr>
        <w:t>日</w:t>
      </w:r>
    </w:p>
    <w:p w14:paraId="27D816CA">
      <w:pPr>
        <w:pStyle w:val="34"/>
        <w:snapToGrid w:val="0"/>
        <w:jc w:val="both"/>
        <w:rPr>
          <w:rStyle w:val="41"/>
          <w:rFonts w:ascii="宋体" w:hAnsi="宋体" w:eastAsia="宋体"/>
          <w:spacing w:val="2"/>
        </w:rPr>
      </w:pPr>
    </w:p>
    <w:p w14:paraId="6530D6DF">
      <w:pPr>
        <w:pStyle w:val="34"/>
        <w:snapToGrid w:val="0"/>
        <w:jc w:val="both"/>
        <w:rPr>
          <w:rStyle w:val="41"/>
          <w:rFonts w:ascii="宋体" w:hAnsi="宋体" w:eastAsia="宋体"/>
          <w:spacing w:val="2"/>
        </w:rPr>
      </w:pPr>
    </w:p>
    <w:p w14:paraId="52A7F177">
      <w:pPr>
        <w:pStyle w:val="34"/>
        <w:snapToGrid w:val="0"/>
        <w:jc w:val="both"/>
        <w:rPr>
          <w:rStyle w:val="41"/>
          <w:rFonts w:ascii="宋体" w:hAnsi="宋体" w:eastAsia="宋体"/>
          <w:spacing w:val="2"/>
        </w:rPr>
      </w:pPr>
    </w:p>
    <w:p w14:paraId="51280930">
      <w:pPr>
        <w:pStyle w:val="34"/>
        <w:snapToGrid w:val="0"/>
        <w:jc w:val="both"/>
        <w:rPr>
          <w:rStyle w:val="41"/>
          <w:rFonts w:ascii="宋体" w:hAnsi="宋体" w:eastAsia="宋体"/>
          <w:spacing w:val="2"/>
        </w:rPr>
      </w:pPr>
    </w:p>
    <w:p w14:paraId="230D9304">
      <w:pPr>
        <w:pStyle w:val="34"/>
        <w:snapToGrid w:val="0"/>
        <w:jc w:val="both"/>
        <w:rPr>
          <w:rStyle w:val="41"/>
          <w:rFonts w:ascii="宋体" w:hAnsi="宋体" w:eastAsia="宋体"/>
          <w:spacing w:val="2"/>
        </w:rPr>
      </w:pPr>
    </w:p>
    <w:p w14:paraId="36B54C7F">
      <w:bookmarkStart w:id="19" w:name="_Toc13970_WPSOffice_Level1"/>
      <w:r>
        <w:br w:type="page"/>
      </w:r>
    </w:p>
    <w:p w14:paraId="3F3BCD0A">
      <w:pPr>
        <w:pStyle w:val="5"/>
      </w:pPr>
    </w:p>
    <w:p w14:paraId="59B481B4">
      <w:pPr>
        <w:pStyle w:val="5"/>
      </w:pPr>
    </w:p>
    <w:p w14:paraId="6B7A1E05">
      <w:pPr>
        <w:pStyle w:val="5"/>
      </w:pPr>
    </w:p>
    <w:p w14:paraId="3DEC490A">
      <w:pPr>
        <w:pStyle w:val="5"/>
      </w:pPr>
    </w:p>
    <w:p w14:paraId="31DBEB5A">
      <w:pPr>
        <w:pStyle w:val="5"/>
      </w:pPr>
    </w:p>
    <w:p w14:paraId="06B96790">
      <w:pPr>
        <w:pStyle w:val="5"/>
      </w:pPr>
    </w:p>
    <w:p w14:paraId="3860BFD4">
      <w:pPr>
        <w:pStyle w:val="5"/>
      </w:pPr>
    </w:p>
    <w:p w14:paraId="2F8BDB50">
      <w:pPr>
        <w:pStyle w:val="5"/>
      </w:pPr>
    </w:p>
    <w:p w14:paraId="74636B3E">
      <w:pPr>
        <w:pStyle w:val="5"/>
      </w:pPr>
    </w:p>
    <w:p w14:paraId="62A7F8C8">
      <w:pPr>
        <w:pStyle w:val="5"/>
      </w:pPr>
      <w:r>
        <w:t>第三章</w:t>
      </w:r>
      <w:r>
        <w:tab/>
      </w:r>
      <w:r>
        <w:rPr>
          <w:rFonts w:hint="eastAsia"/>
        </w:rPr>
        <w:t xml:space="preserve">  </w:t>
      </w:r>
      <w:r>
        <w:t>评选办法</w:t>
      </w:r>
      <w:bookmarkEnd w:id="19"/>
    </w:p>
    <w:p w14:paraId="6C24E9EF">
      <w:pPr>
        <w:pStyle w:val="5"/>
        <w:sectPr>
          <w:footerReference r:id="rId12" w:type="default"/>
          <w:pgSz w:w="11906" w:h="16840"/>
          <w:pgMar w:top="1060" w:right="1020" w:bottom="1040" w:left="1360" w:header="878" w:footer="855" w:gutter="0"/>
          <w:cols w:space="425" w:num="1"/>
        </w:sectPr>
      </w:pPr>
    </w:p>
    <w:p w14:paraId="774D8065">
      <w:pPr>
        <w:pStyle w:val="35"/>
        <w:tabs>
          <w:tab w:val="left" w:pos="4759"/>
        </w:tabs>
        <w:snapToGrid w:val="0"/>
        <w:spacing w:before="19" w:line="220" w:lineRule="exact"/>
        <w:rPr>
          <w:rStyle w:val="41"/>
          <w:rFonts w:ascii="宋体"/>
          <w:sz w:val="22"/>
        </w:rPr>
      </w:pPr>
    </w:p>
    <w:p w14:paraId="6AB10D05">
      <w:pPr>
        <w:pStyle w:val="6"/>
        <w:rPr>
          <w:rStyle w:val="41"/>
          <w:rFonts w:ascii="宋体" w:hAnsi="宋体"/>
          <w:szCs w:val="24"/>
        </w:rPr>
      </w:pPr>
      <w:r>
        <w:rPr>
          <w:rFonts w:hint="eastAsia"/>
        </w:rPr>
        <w:t>一、</w:t>
      </w:r>
      <w:r>
        <w:t xml:space="preserve"> 评选办法前附表</w:t>
      </w:r>
    </w:p>
    <w:p w14:paraId="27CE6A24">
      <w:pPr>
        <w:pStyle w:val="31"/>
        <w:ind w:firstLine="420"/>
      </w:pPr>
      <w:r>
        <w:t>《评选办法前附表》用于明确评选的方法、因素、标准、程序。《评选办法前附表》及评选办法正文没有列明的因素和标准不得作为评选的依据。</w:t>
      </w:r>
    </w:p>
    <w:tbl>
      <w:tblPr>
        <w:tblStyle w:val="18"/>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092"/>
        <w:gridCol w:w="6379"/>
        <w:gridCol w:w="17"/>
      </w:tblGrid>
      <w:tr w14:paraId="797FA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47C36CAC">
            <w:pPr>
              <w:pStyle w:val="28"/>
              <w:rPr>
                <w:rFonts w:hint="default"/>
              </w:rPr>
            </w:pPr>
            <w:r>
              <w:t>条款号</w:t>
            </w:r>
          </w:p>
        </w:tc>
        <w:tc>
          <w:tcPr>
            <w:tcW w:w="8488" w:type="dxa"/>
            <w:gridSpan w:val="3"/>
            <w:tcBorders>
              <w:top w:val="single" w:color="000000" w:sz="4" w:space="0"/>
              <w:left w:val="single" w:color="000000" w:sz="4" w:space="0"/>
              <w:bottom w:val="single" w:color="000000" w:sz="4" w:space="0"/>
              <w:right w:val="single" w:color="000000" w:sz="4" w:space="0"/>
            </w:tcBorders>
            <w:vAlign w:val="center"/>
          </w:tcPr>
          <w:p w14:paraId="29EA2897">
            <w:pPr>
              <w:pStyle w:val="28"/>
              <w:rPr>
                <w:rFonts w:hint="default"/>
              </w:rPr>
            </w:pPr>
            <w:r>
              <w:t>评审因素与评审标准</w:t>
            </w:r>
          </w:p>
        </w:tc>
      </w:tr>
      <w:tr w14:paraId="7F88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4C6351E7">
            <w:pPr>
              <w:pStyle w:val="29"/>
            </w:pPr>
            <w:r>
              <w:t>1.1</w:t>
            </w:r>
          </w:p>
          <w:p w14:paraId="74565C83">
            <w:pPr>
              <w:pStyle w:val="29"/>
            </w:pPr>
            <w:r>
              <w:t>评选方法</w:t>
            </w:r>
          </w:p>
        </w:tc>
        <w:tc>
          <w:tcPr>
            <w:tcW w:w="8488" w:type="dxa"/>
            <w:gridSpan w:val="3"/>
            <w:tcBorders>
              <w:top w:val="single" w:color="000000" w:sz="4" w:space="0"/>
              <w:left w:val="single" w:color="000000" w:sz="4" w:space="0"/>
              <w:bottom w:val="single" w:color="000000" w:sz="4" w:space="0"/>
              <w:right w:val="single" w:color="000000" w:sz="4" w:space="0"/>
            </w:tcBorders>
            <w:vAlign w:val="center"/>
          </w:tcPr>
          <w:p w14:paraId="77F6B235">
            <w:pPr>
              <w:pStyle w:val="30"/>
            </w:pPr>
            <w:r>
              <w:rPr>
                <w:rFonts w:hint="eastAsia"/>
              </w:rPr>
              <w:t xml:space="preserve">1.本次评选采用综合评估法，推荐中选候选人具体原则为： </w:t>
            </w:r>
          </w:p>
          <w:p w14:paraId="6CAF6DFF">
            <w:pPr>
              <w:pStyle w:val="30"/>
            </w:pPr>
            <w:r>
              <w:rPr>
                <w:rFonts w:hint="eastAsia"/>
              </w:rPr>
              <w:t>（1）评选委员会对通过初步评审和详细评审的所有比选申请人，按照综合得分由高到低进行排序。若多个比选申请人综合得分相同时，评选委员会依次按照以下原则排序：</w:t>
            </w:r>
          </w:p>
          <w:p w14:paraId="389B60F9">
            <w:pPr>
              <w:pStyle w:val="30"/>
            </w:pPr>
            <w:r>
              <w:rPr>
                <w:rFonts w:hint="eastAsia"/>
              </w:rPr>
              <w:t>①评选价低的比选申请人优先；</w:t>
            </w:r>
          </w:p>
          <w:p w14:paraId="0125CFD5">
            <w:pPr>
              <w:pStyle w:val="30"/>
            </w:pPr>
            <w:r>
              <w:rPr>
                <w:rFonts w:hint="eastAsia"/>
              </w:rPr>
              <w:t>②四川省重点公路建设从业单位信用评价等级高的优先；</w:t>
            </w:r>
          </w:p>
          <w:p w14:paraId="0855642C">
            <w:pPr>
              <w:pStyle w:val="30"/>
            </w:pPr>
            <w:r>
              <w:rPr>
                <w:rFonts w:hint="eastAsia"/>
              </w:rPr>
              <w:t>③比选申请人注册资本高的优先；</w:t>
            </w:r>
          </w:p>
          <w:p w14:paraId="247B8867">
            <w:pPr>
              <w:pStyle w:val="30"/>
            </w:pPr>
            <w:r>
              <w:rPr>
                <w:rFonts w:hint="eastAsia"/>
              </w:rPr>
              <w:t>④若上述情况都相同时，则排序按照：有利于比选申请人的原则。</w:t>
            </w:r>
          </w:p>
          <w:p w14:paraId="6235EA3B">
            <w:pPr>
              <w:pStyle w:val="30"/>
              <w:rPr>
                <w:rStyle w:val="41"/>
                <w:szCs w:val="21"/>
              </w:rPr>
            </w:pPr>
            <w:r>
              <w:rPr>
                <w:rFonts w:hint="eastAsia"/>
              </w:rPr>
              <w:t>（2）评选委员会按最终排序推荐前3名中选候选人（若不足3名，则按相应数量推荐）。</w:t>
            </w:r>
          </w:p>
        </w:tc>
      </w:tr>
      <w:tr w14:paraId="4986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14:paraId="37A088FB">
            <w:pPr>
              <w:pStyle w:val="29"/>
            </w:pPr>
            <w:r>
              <w:t>2.1.1</w:t>
            </w:r>
          </w:p>
          <w:p w14:paraId="32623DFB">
            <w:pPr>
              <w:pStyle w:val="29"/>
            </w:pPr>
            <w:r>
              <w:t>形式评</w:t>
            </w:r>
          </w:p>
          <w:p w14:paraId="0201B533">
            <w:pPr>
              <w:pStyle w:val="29"/>
            </w:pPr>
            <w:r>
              <w:t>审标准</w:t>
            </w:r>
          </w:p>
        </w:tc>
        <w:tc>
          <w:tcPr>
            <w:tcW w:w="2092" w:type="dxa"/>
            <w:tcBorders>
              <w:top w:val="single" w:color="000000" w:sz="4" w:space="0"/>
              <w:left w:val="single" w:color="000000" w:sz="4" w:space="0"/>
              <w:bottom w:val="single" w:color="000000" w:sz="4" w:space="0"/>
              <w:right w:val="single" w:color="000000" w:sz="4" w:space="0"/>
            </w:tcBorders>
            <w:vAlign w:val="center"/>
          </w:tcPr>
          <w:p w14:paraId="661C4C6E">
            <w:pPr>
              <w:pStyle w:val="30"/>
            </w:pPr>
            <w:r>
              <w:t>1．比选申请文件中的重要内容按照比选文件规定的格式、内容填写，字迹、印章清晰可辨</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2C1234CE">
            <w:pPr>
              <w:pStyle w:val="30"/>
            </w:pPr>
            <w:r>
              <w:t>（1）比选申请函按比选文件规定的格式、内容填写；</w:t>
            </w:r>
          </w:p>
          <w:p w14:paraId="2582E387">
            <w:pPr>
              <w:pStyle w:val="30"/>
            </w:pPr>
            <w:r>
              <w:t>（2）比选申请文件组成齐全完整，字迹、印章清晰可辨。</w:t>
            </w:r>
          </w:p>
        </w:tc>
      </w:tr>
      <w:tr w14:paraId="5404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7"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6AEF6302">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450105D2">
            <w:pPr>
              <w:pStyle w:val="30"/>
            </w:pPr>
            <w:r>
              <w:t>2．比选申请文件上法定代表人或其委托代理人的签字、比选申请人的单位章盖章齐全，符合比选文件规定</w:t>
            </w:r>
          </w:p>
        </w:tc>
        <w:tc>
          <w:tcPr>
            <w:tcW w:w="6396" w:type="dxa"/>
            <w:gridSpan w:val="2"/>
            <w:tcBorders>
              <w:top w:val="single" w:color="000000" w:sz="4" w:space="0"/>
              <w:left w:val="single" w:color="000000" w:sz="4" w:space="0"/>
              <w:bottom w:val="single" w:color="000000" w:sz="4" w:space="0"/>
              <w:right w:val="single" w:color="000000" w:sz="4" w:space="0"/>
            </w:tcBorders>
          </w:tcPr>
          <w:p w14:paraId="54ED24AD">
            <w:pPr>
              <w:pStyle w:val="30"/>
            </w:pPr>
            <w:r>
              <w:t>（1）比选申请文件格式中的比选申请函、授权委托书（如有）或法定代表人身份证明及比选申请文件格式规定要求签署的地方，比选申请人的法定代表人或其委托代理人均按照对应要求签名，</w:t>
            </w:r>
            <w:r>
              <w:rPr>
                <w:rFonts w:hint="eastAsia"/>
              </w:rPr>
              <w:t>不得</w:t>
            </w:r>
            <w:r>
              <w:t>使用印章、签名章或电子制版章代替签名；</w:t>
            </w:r>
          </w:p>
          <w:p w14:paraId="27AC5F08">
            <w:pPr>
              <w:pStyle w:val="30"/>
            </w:pPr>
            <w:r>
              <w:t>（2）比选申请文件格式中的比选申请函、授权委托书（如有）或法定代表人身份证明及比选申请文件格式规定要求加盖比选申请人单位章的地方均加盖比选申请人单位章，单位章内容与其营业执照或事业单位法人证书名称一致，且</w:t>
            </w:r>
            <w:r>
              <w:rPr>
                <w:rFonts w:hint="eastAsia"/>
              </w:rPr>
              <w:t>不得</w:t>
            </w:r>
            <w:r>
              <w:t>使用专用印章代替单位章；</w:t>
            </w:r>
          </w:p>
          <w:p w14:paraId="2009CF49">
            <w:pPr>
              <w:pStyle w:val="30"/>
            </w:pPr>
            <w:r>
              <w:t xml:space="preserve">（3）比选申请文件中有改动之处均加盖比选申请人单位章或由比选申请人的法定代表人或其委托代理人签字确认； </w:t>
            </w:r>
          </w:p>
        </w:tc>
      </w:tr>
      <w:tr w14:paraId="3DC90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4" w:hRule="atLeast"/>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14:paraId="3088CB68">
            <w:pPr>
              <w:pStyle w:val="29"/>
            </w:pPr>
            <w:r>
              <w:t>2.1.1</w:t>
            </w:r>
          </w:p>
          <w:p w14:paraId="065A0978">
            <w:pPr>
              <w:pStyle w:val="29"/>
            </w:pPr>
            <w:r>
              <w:t>形式评</w:t>
            </w:r>
          </w:p>
          <w:p w14:paraId="10538D9F">
            <w:pPr>
              <w:pStyle w:val="29"/>
            </w:pPr>
            <w:r>
              <w:t>审标准</w:t>
            </w:r>
          </w:p>
        </w:tc>
        <w:tc>
          <w:tcPr>
            <w:tcW w:w="2092" w:type="dxa"/>
            <w:tcBorders>
              <w:top w:val="single" w:color="000000" w:sz="4" w:space="0"/>
              <w:left w:val="single" w:color="000000" w:sz="4" w:space="0"/>
              <w:bottom w:val="single" w:color="000000" w:sz="4" w:space="0"/>
              <w:right w:val="single" w:color="000000" w:sz="4" w:space="0"/>
            </w:tcBorders>
            <w:vAlign w:val="center"/>
          </w:tcPr>
          <w:p w14:paraId="4061CCAD">
            <w:pPr>
              <w:pStyle w:val="30"/>
            </w:pPr>
            <w:r>
              <w:t>3．比选申请人比选申请文件若由法定代表人授权的委托代理人签署的，需提交授权委托书，并符合比选文件要求（本款仅适用于比选申请人比选申请文件由委托代理人签署）</w:t>
            </w:r>
          </w:p>
        </w:tc>
        <w:tc>
          <w:tcPr>
            <w:tcW w:w="6396" w:type="dxa"/>
            <w:gridSpan w:val="2"/>
            <w:tcBorders>
              <w:top w:val="single" w:color="000000" w:sz="4" w:space="0"/>
              <w:left w:val="single" w:color="000000" w:sz="4" w:space="0"/>
              <w:bottom w:val="single" w:color="000000" w:sz="4" w:space="0"/>
              <w:right w:val="single" w:color="000000" w:sz="4" w:space="0"/>
            </w:tcBorders>
          </w:tcPr>
          <w:p w14:paraId="17F4549B">
            <w:pPr>
              <w:pStyle w:val="30"/>
            </w:pPr>
            <w:r>
              <w:t>（1）提交了授权委托书；</w:t>
            </w:r>
          </w:p>
          <w:p w14:paraId="54E0A93A">
            <w:pPr>
              <w:pStyle w:val="30"/>
            </w:pPr>
            <w:r>
              <w:t>（2）法定代表人和委托代理人均在授权委托书上亲笔签署姓名，未使用印章、签名章或其他电子制版章代替签名；</w:t>
            </w:r>
          </w:p>
          <w:p w14:paraId="47E35412">
            <w:pPr>
              <w:pStyle w:val="30"/>
            </w:pPr>
            <w:r>
              <w:t>（3）授权委托书中委托代理人只能是一个人，且不能再次授权委托他人；</w:t>
            </w:r>
          </w:p>
          <w:p w14:paraId="3C7155C8">
            <w:pPr>
              <w:pStyle w:val="30"/>
            </w:pPr>
            <w:r>
              <w:t>（4）授权委托书后应附法定代表人和委托代理人身份证复印件（黑白或彩色）且身份证复印件（黑白或彩色）应清晰，授权委托书上应加盖比选申请人单位章；</w:t>
            </w:r>
          </w:p>
          <w:p w14:paraId="7746FC3F">
            <w:pPr>
              <w:pStyle w:val="30"/>
            </w:pPr>
            <w:r>
              <w:t>（5）委托代理人签署比选申请函的时间应与授权委托书的时间同日或在其之后。</w:t>
            </w:r>
          </w:p>
        </w:tc>
      </w:tr>
      <w:tr w14:paraId="6860B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4F515626">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1FE94CC4">
            <w:pPr>
              <w:pStyle w:val="30"/>
            </w:pPr>
            <w:r>
              <w:t>4．比选申请人比选申请文件若由法定代表人亲自签署比选申请文件的，提供了法定代表人身份证明，并符合比选文件要求。（本款仅适用于比选申请人比选申请文件由法定代表人亲自签署）</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272C3723">
            <w:pPr>
              <w:pStyle w:val="30"/>
            </w:pPr>
            <w:r>
              <w:t>（1）提供法定代表人身份证明；</w:t>
            </w:r>
          </w:p>
          <w:p w14:paraId="604C6F9B">
            <w:pPr>
              <w:pStyle w:val="30"/>
            </w:pPr>
            <w:r>
              <w:t>（2）法定代表人在法定代表人身份证明上签名，</w:t>
            </w:r>
            <w:r>
              <w:rPr>
                <w:rFonts w:hint="eastAsia"/>
              </w:rPr>
              <w:t>不得</w:t>
            </w:r>
            <w:r>
              <w:t xml:space="preserve">使用印章、签名章或其他电子制版章代替签名； </w:t>
            </w:r>
          </w:p>
          <w:p w14:paraId="0ACEC4C2">
            <w:pPr>
              <w:pStyle w:val="30"/>
            </w:pPr>
            <w:r>
              <w:t>（3）法定代表人身份证明后应附法定代表人身份证复印件（黑白或彩色）且身份证复印件（黑白或彩色）应清晰，法定代表人身份证明应加盖比选申请人单位章；</w:t>
            </w:r>
          </w:p>
          <w:p w14:paraId="055B4CB7">
            <w:pPr>
              <w:pStyle w:val="30"/>
            </w:pPr>
            <w:r>
              <w:t>（4）法定代表人签署比选申请函的时间应与法定代表人身份证明的时间同日或在其之后。</w:t>
            </w:r>
          </w:p>
        </w:tc>
      </w:tr>
      <w:tr w14:paraId="7A071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66726B51">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595985DB">
            <w:pPr>
              <w:pStyle w:val="30"/>
            </w:pPr>
            <w:r>
              <w:t>5．比选申请文件应符合的其它规定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2563BD43">
            <w:pPr>
              <w:pStyle w:val="30"/>
              <w:numPr>
                <w:ilvl w:val="0"/>
                <w:numId w:val="1"/>
              </w:numPr>
            </w:pPr>
            <w:r>
              <w:t>同一比选申请人对同一标段未提交两个以上不同的比选申请文件；</w:t>
            </w:r>
          </w:p>
          <w:p w14:paraId="42B74B41">
            <w:pPr>
              <w:pStyle w:val="30"/>
              <w:numPr>
                <w:ilvl w:val="0"/>
                <w:numId w:val="1"/>
              </w:numPr>
            </w:pPr>
            <w:r>
              <w:t>封套上标注的所投项目、标段名称与内装比选申请文件所投项目、标段名称一致；</w:t>
            </w:r>
          </w:p>
          <w:p w14:paraId="7CBAECD3">
            <w:pPr>
              <w:pStyle w:val="30"/>
              <w:numPr>
                <w:ilvl w:val="0"/>
                <w:numId w:val="1"/>
              </w:numPr>
            </w:pPr>
            <w:r>
              <w:t>比选申请文件正、副本份数符合比选文件第二章“比选申请人须知”第3.7.4项规定。</w:t>
            </w:r>
          </w:p>
        </w:tc>
      </w:tr>
      <w:tr w14:paraId="51B27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1C4736FE">
            <w:pPr>
              <w:pStyle w:val="29"/>
            </w:pPr>
            <w:r>
              <w:t>2.1.2</w:t>
            </w:r>
          </w:p>
          <w:p w14:paraId="4BB97612">
            <w:pPr>
              <w:pStyle w:val="29"/>
            </w:pPr>
            <w:r>
              <w:t>资格评</w:t>
            </w:r>
          </w:p>
          <w:p w14:paraId="61C78795">
            <w:pPr>
              <w:pStyle w:val="29"/>
            </w:pPr>
            <w:r>
              <w:t xml:space="preserve">审标准                   </w:t>
            </w:r>
          </w:p>
        </w:tc>
        <w:tc>
          <w:tcPr>
            <w:tcW w:w="2092" w:type="dxa"/>
            <w:tcBorders>
              <w:top w:val="single" w:color="000000" w:sz="4" w:space="0"/>
              <w:left w:val="single" w:color="000000" w:sz="4" w:space="0"/>
              <w:bottom w:val="single" w:color="000000" w:sz="4" w:space="0"/>
              <w:right w:val="single" w:color="000000" w:sz="4" w:space="0"/>
            </w:tcBorders>
            <w:vAlign w:val="center"/>
          </w:tcPr>
          <w:p w14:paraId="182A6839">
            <w:pPr>
              <w:pStyle w:val="30"/>
            </w:pPr>
            <w:r>
              <w:t>1．比选申请人具备有效的营业执照、资质证书、基本账户开户许可证或基本账户存款信息</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4A4480AF">
            <w:pPr>
              <w:pStyle w:val="30"/>
            </w:pPr>
            <w:r>
              <w:t>（1）比选申请人提供了下述有效的证明材料复印件（黑白或彩色）：</w:t>
            </w:r>
          </w:p>
          <w:p w14:paraId="6C203562">
            <w:pPr>
              <w:pStyle w:val="30"/>
            </w:pPr>
            <w:r>
              <w:t>①营业执照或事业单位法人证书。②</w:t>
            </w:r>
            <w:r>
              <w:fldChar w:fldCharType="begin"/>
            </w:r>
            <w:r>
              <w:instrText xml:space="preserve"> HYPERLINK "" </w:instrText>
            </w:r>
            <w:r>
              <w:fldChar w:fldCharType="separate"/>
            </w:r>
            <w:r>
              <w:fldChar w:fldCharType="end"/>
            </w:r>
            <w:r>
              <w:rPr>
                <w:rFonts w:hint="eastAsia"/>
              </w:rPr>
              <w:t>资质</w:t>
            </w:r>
            <w:r>
              <w:t>证书。③基本账户开户许可证或基本账户存款信息④比选申请人在国家企业信用信息公示系统中基础信息(体现股东及出资详细信息)的网页截图或由法定的社会验资机构出具的验资报告或股东出资情况证明。</w:t>
            </w:r>
          </w:p>
        </w:tc>
      </w:tr>
      <w:tr w14:paraId="3ECEB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14:paraId="372C57F3">
            <w:pPr>
              <w:pStyle w:val="29"/>
            </w:pPr>
            <w:r>
              <w:t>2.1.2</w:t>
            </w:r>
          </w:p>
          <w:p w14:paraId="23635B61">
            <w:pPr>
              <w:pStyle w:val="29"/>
            </w:pPr>
            <w:r>
              <w:t>资格评</w:t>
            </w:r>
          </w:p>
          <w:p w14:paraId="502F13C4">
            <w:pPr>
              <w:pStyle w:val="29"/>
            </w:pPr>
            <w:r>
              <w:t>审标准</w:t>
            </w:r>
          </w:p>
        </w:tc>
        <w:tc>
          <w:tcPr>
            <w:tcW w:w="2092" w:type="dxa"/>
            <w:tcBorders>
              <w:top w:val="single" w:color="000000" w:sz="4" w:space="0"/>
              <w:left w:val="single" w:color="000000" w:sz="4" w:space="0"/>
              <w:bottom w:val="single" w:color="000000" w:sz="4" w:space="0"/>
              <w:right w:val="single" w:color="000000" w:sz="4" w:space="0"/>
            </w:tcBorders>
            <w:vAlign w:val="center"/>
          </w:tcPr>
          <w:p w14:paraId="06BE6D86">
            <w:pPr>
              <w:pStyle w:val="30"/>
            </w:pPr>
            <w:r>
              <w:t>2．比选申请人的资质等级符合第二章“比选申请人须知前附表”第1.4.1项规定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4180D54B">
            <w:pPr>
              <w:pStyle w:val="30"/>
            </w:pPr>
            <w:r>
              <w:t>比选申请人的资质等级符合第二章“比选申请人须知前附表”第1.4.1项规定。</w:t>
            </w:r>
          </w:p>
        </w:tc>
      </w:tr>
      <w:tr w14:paraId="24777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2CE560C5">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6B28D5D7">
            <w:pPr>
              <w:pStyle w:val="30"/>
            </w:pPr>
            <w:r>
              <w:t>3．比选申请人的类似项目业绩符合第二章“比选申请人须知前附表”第1.4.1项规定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56556C21">
            <w:pPr>
              <w:pStyle w:val="30"/>
            </w:pPr>
            <w:r>
              <w:t>（1）比选申请人的类似项目业绩符合第二章“比选申请人须知前附表”第1.4.1项规定；</w:t>
            </w:r>
          </w:p>
          <w:p w14:paraId="6FAD81A6">
            <w:pPr>
              <w:pStyle w:val="30"/>
            </w:pPr>
            <w:r>
              <w:t>（2）提供的证明材料符合“第</w:t>
            </w:r>
            <w:r>
              <w:rPr>
                <w:rFonts w:hint="eastAsia"/>
              </w:rPr>
              <w:t>五</w:t>
            </w:r>
            <w:r>
              <w:t>章比选申请文件格式”要求。</w:t>
            </w:r>
          </w:p>
        </w:tc>
      </w:tr>
      <w:tr w14:paraId="69C1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69BD3551">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2FFA7D3D">
            <w:pPr>
              <w:pStyle w:val="30"/>
            </w:pPr>
            <w:r>
              <w:t>4．比选申请人的信誉符合第二章“比选申请人须知前附表”第1.4.1项规定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4AD0E917">
            <w:pPr>
              <w:pStyle w:val="30"/>
            </w:pPr>
            <w:r>
              <w:t>（1）比选申请人的信誉符合第二章“比选申请人须知前附表”第1.4.1项规定；</w:t>
            </w:r>
          </w:p>
          <w:p w14:paraId="0E1BA5B2">
            <w:pPr>
              <w:pStyle w:val="30"/>
            </w:pPr>
            <w:r>
              <w:t>（2）提供的证明材料符合“第</w:t>
            </w:r>
            <w:r>
              <w:rPr>
                <w:rFonts w:hint="eastAsia"/>
              </w:rPr>
              <w:t>五</w:t>
            </w:r>
            <w:r>
              <w:t>章比选申请文件格式”要求。</w:t>
            </w:r>
          </w:p>
        </w:tc>
      </w:tr>
      <w:tr w14:paraId="26176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4DF80C74">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28D7BDB9">
            <w:pPr>
              <w:pStyle w:val="30"/>
            </w:pPr>
            <w:r>
              <w:t>5. 比选申请人的人员最低要求符合第二章“比选申请人须知前附表”第1.4.1项规定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3995C229">
            <w:pPr>
              <w:pStyle w:val="30"/>
            </w:pPr>
            <w:r>
              <w:t>（1）比选申请人的人员符合第二章“比选申请人须知前附表”第1.4.1项规定；</w:t>
            </w:r>
          </w:p>
          <w:p w14:paraId="0325D0F9">
            <w:pPr>
              <w:pStyle w:val="30"/>
            </w:pPr>
            <w:r>
              <w:t>（2）提供的证明材料符合“第</w:t>
            </w:r>
            <w:r>
              <w:rPr>
                <w:rFonts w:hint="eastAsia"/>
              </w:rPr>
              <w:t>五</w:t>
            </w:r>
            <w:r>
              <w:t>章比选申请文件格式”要求。</w:t>
            </w:r>
          </w:p>
        </w:tc>
      </w:tr>
      <w:tr w14:paraId="74435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69CE8FA0">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768BAC53">
            <w:pPr>
              <w:pStyle w:val="30"/>
            </w:pPr>
            <w:r>
              <w:t>6．比选申请人的其他要求符合第二章“比选申请人须知前附表”第1.4.1项规定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44BB92A7">
            <w:pPr>
              <w:pStyle w:val="30"/>
            </w:pPr>
            <w:r>
              <w:t>（1）比选申请人不存在第二章“比选申请人须知”第1.4.3项或1.4.4项规定的任何一种情形（与资格评审标准附录4资格审查条件（信誉最低要求）重复的情形，此处不再评审）。</w:t>
            </w:r>
          </w:p>
        </w:tc>
      </w:tr>
      <w:tr w14:paraId="36BA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1B546C7C">
            <w:pPr>
              <w:pStyle w:val="29"/>
            </w:pPr>
            <w:r>
              <w:t>2.1.3</w:t>
            </w:r>
          </w:p>
          <w:p w14:paraId="093BF7C0">
            <w:pPr>
              <w:pStyle w:val="29"/>
            </w:pPr>
            <w:r>
              <w:t>响应性评审标准</w:t>
            </w:r>
          </w:p>
        </w:tc>
        <w:tc>
          <w:tcPr>
            <w:tcW w:w="8488" w:type="dxa"/>
            <w:gridSpan w:val="3"/>
            <w:tcBorders>
              <w:top w:val="single" w:color="000000" w:sz="4" w:space="0"/>
              <w:left w:val="single" w:color="000000" w:sz="4" w:space="0"/>
              <w:bottom w:val="single" w:color="000000" w:sz="4" w:space="0"/>
              <w:right w:val="single" w:color="000000" w:sz="4" w:space="0"/>
            </w:tcBorders>
            <w:vAlign w:val="center"/>
          </w:tcPr>
          <w:p w14:paraId="783C46A1">
            <w:pPr>
              <w:pStyle w:val="30"/>
            </w:pPr>
            <w:r>
              <w:t>1．比选申请文件对比选文件的实质性要求和条件作出响应。</w:t>
            </w:r>
          </w:p>
          <w:p w14:paraId="151E54A6">
            <w:pPr>
              <w:pStyle w:val="30"/>
            </w:pPr>
            <w:r>
              <w:t>2. 比选申请文件未附有比选人不能接受的条件。</w:t>
            </w:r>
          </w:p>
        </w:tc>
      </w:tr>
      <w:tr w14:paraId="35263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5F8D5386">
            <w:pPr>
              <w:pStyle w:val="29"/>
            </w:pPr>
            <w:r>
              <w:t>2.2详细评审标准</w:t>
            </w:r>
          </w:p>
        </w:tc>
        <w:tc>
          <w:tcPr>
            <w:tcW w:w="8488" w:type="dxa"/>
            <w:gridSpan w:val="3"/>
            <w:tcBorders>
              <w:top w:val="single" w:color="000000" w:sz="4" w:space="0"/>
              <w:left w:val="single" w:color="000000" w:sz="4" w:space="0"/>
              <w:bottom w:val="single" w:color="000000" w:sz="4" w:space="0"/>
              <w:right w:val="single" w:color="000000" w:sz="4" w:space="0"/>
            </w:tcBorders>
            <w:vAlign w:val="center"/>
          </w:tcPr>
          <w:p w14:paraId="257E18B3">
            <w:pPr>
              <w:pStyle w:val="30"/>
            </w:pPr>
            <w:r>
              <w:t>评选委员会按2.2.1、2.2.2、2.2.3款规定的量化因素和分值进行打分，并计算出各比选申请人的得分。</w:t>
            </w:r>
          </w:p>
        </w:tc>
      </w:tr>
      <w:tr w14:paraId="446D5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0E93CAE0">
            <w:pPr>
              <w:pStyle w:val="29"/>
            </w:pPr>
            <w:r>
              <w:t>2.2.1</w:t>
            </w:r>
          </w:p>
        </w:tc>
        <w:tc>
          <w:tcPr>
            <w:tcW w:w="2092" w:type="dxa"/>
            <w:tcBorders>
              <w:top w:val="single" w:color="000000" w:sz="4" w:space="0"/>
              <w:left w:val="single" w:color="000000" w:sz="4" w:space="0"/>
              <w:bottom w:val="single" w:color="000000" w:sz="4" w:space="0"/>
              <w:right w:val="single" w:color="000000" w:sz="4" w:space="0"/>
            </w:tcBorders>
            <w:vAlign w:val="center"/>
          </w:tcPr>
          <w:p w14:paraId="58C3BD81">
            <w:pPr>
              <w:pStyle w:val="29"/>
            </w:pPr>
            <w:r>
              <w:t>分值构成</w:t>
            </w:r>
          </w:p>
          <w:p w14:paraId="47D2FDFA">
            <w:pPr>
              <w:pStyle w:val="29"/>
            </w:pPr>
            <w:r>
              <w:t>（总分100分）</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1DFA1E28">
            <w:pPr>
              <w:pStyle w:val="30"/>
            </w:pPr>
            <w:r>
              <w:t>（1）</w:t>
            </w:r>
            <w:r>
              <w:rPr>
                <w:rFonts w:hint="eastAsia"/>
              </w:rPr>
              <w:t>技术建议书</w:t>
            </w:r>
            <w:r>
              <w:t>：</w:t>
            </w:r>
            <w:r>
              <w:rPr>
                <w:rFonts w:hint="eastAsia"/>
              </w:rPr>
              <w:t>3</w:t>
            </w:r>
            <w:r>
              <w:rPr>
                <w:rFonts w:hint="eastAsia"/>
                <w:lang w:val="en-US" w:eastAsia="zh-CN"/>
              </w:rPr>
              <w:t>0</w:t>
            </w:r>
            <w:r>
              <w:t>分；</w:t>
            </w:r>
          </w:p>
          <w:p w14:paraId="491BCAEB">
            <w:pPr>
              <w:pStyle w:val="30"/>
            </w:pPr>
            <w:r>
              <w:t>（2）业绩：30分；</w:t>
            </w:r>
          </w:p>
          <w:p w14:paraId="7A4F5BD6">
            <w:pPr>
              <w:pStyle w:val="30"/>
            </w:pPr>
            <w:r>
              <w:t>（3）人员：</w:t>
            </w:r>
            <w:r>
              <w:rPr>
                <w:rFonts w:hint="eastAsia"/>
                <w:lang w:val="en-US" w:eastAsia="zh-CN"/>
              </w:rPr>
              <w:t>30</w:t>
            </w:r>
            <w:r>
              <w:t>分；</w:t>
            </w:r>
          </w:p>
          <w:p w14:paraId="18672C94">
            <w:pPr>
              <w:pStyle w:val="30"/>
            </w:pPr>
            <w:r>
              <w:t>（4）评选价：</w:t>
            </w:r>
            <w:r>
              <w:rPr>
                <w:rFonts w:hint="eastAsia"/>
              </w:rPr>
              <w:t>1</w:t>
            </w:r>
            <w:r>
              <w:t>0分；</w:t>
            </w:r>
          </w:p>
        </w:tc>
      </w:tr>
      <w:tr w14:paraId="34A0E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4264"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6660DD9C">
            <w:pPr>
              <w:pStyle w:val="29"/>
            </w:pPr>
            <w:r>
              <w:t>2.2.2</w:t>
            </w:r>
          </w:p>
        </w:tc>
        <w:tc>
          <w:tcPr>
            <w:tcW w:w="2092" w:type="dxa"/>
            <w:tcBorders>
              <w:top w:val="single" w:color="000000" w:sz="4" w:space="0"/>
              <w:left w:val="single" w:color="000000" w:sz="4" w:space="0"/>
              <w:bottom w:val="single" w:color="000000" w:sz="4" w:space="0"/>
              <w:right w:val="single" w:color="000000" w:sz="4" w:space="0"/>
            </w:tcBorders>
            <w:vAlign w:val="center"/>
          </w:tcPr>
          <w:p w14:paraId="041A4D87">
            <w:pPr>
              <w:pStyle w:val="30"/>
            </w:pPr>
            <w:r>
              <w:t>评选基准价计算方法</w:t>
            </w:r>
          </w:p>
        </w:tc>
        <w:tc>
          <w:tcPr>
            <w:tcW w:w="6379" w:type="dxa"/>
            <w:tcBorders>
              <w:top w:val="single" w:color="000000" w:sz="4" w:space="0"/>
              <w:left w:val="single" w:color="000000" w:sz="4" w:space="0"/>
              <w:bottom w:val="single" w:color="000000" w:sz="4" w:space="0"/>
              <w:right w:val="single" w:color="000000" w:sz="4" w:space="0"/>
            </w:tcBorders>
            <w:vAlign w:val="center"/>
          </w:tcPr>
          <w:p w14:paraId="33C7B6AA">
            <w:pPr>
              <w:pStyle w:val="30"/>
            </w:pPr>
            <w:r>
              <w:t>（1）评选价的确定：</w:t>
            </w:r>
          </w:p>
          <w:p w14:paraId="2FB4DB43">
            <w:pPr>
              <w:pStyle w:val="30"/>
            </w:pPr>
            <w:r>
              <w:t xml:space="preserve">  评选价＝比选申请函中比选申请总报价的金额</w:t>
            </w:r>
          </w:p>
          <w:p w14:paraId="367EDC0A">
            <w:pPr>
              <w:pStyle w:val="30"/>
            </w:pPr>
            <w:r>
              <w:t>（2）评选价平均值A的计算：</w:t>
            </w:r>
          </w:p>
          <w:p w14:paraId="71373E25">
            <w:pPr>
              <w:pStyle w:val="30"/>
            </w:pPr>
            <w:r>
              <w:t xml:space="preserve">①评选价超过最高比选申请限价的按比选申请无效处理，不参与评选基准价计算； </w:t>
            </w:r>
          </w:p>
          <w:p w14:paraId="7FE11F93">
            <w:pPr>
              <w:pStyle w:val="30"/>
            </w:pPr>
            <w:r>
              <w:t>②评选价平均值A的计算和确定：若比选人发现比选申请文件出现以下任一情况，其比选申请报价将不再参加评选基准价的计算，</w:t>
            </w:r>
          </w:p>
          <w:p w14:paraId="4D3E8EDA">
            <w:pPr>
              <w:pStyle w:val="30"/>
            </w:pPr>
            <w:r>
              <w:t>a.未在比选申请函上填写比选申请总价；</w:t>
            </w:r>
          </w:p>
          <w:p w14:paraId="223991E6">
            <w:pPr>
              <w:pStyle w:val="30"/>
            </w:pPr>
            <w:r>
              <w:t>b.比选申请报价超出比选人公布的最高比选申请限价；</w:t>
            </w:r>
          </w:p>
          <w:p w14:paraId="3A298A9B">
            <w:pPr>
              <w:pStyle w:val="30"/>
            </w:pPr>
            <w:r>
              <w:t>c.比选申请报价的金额无法确定具体数值；</w:t>
            </w:r>
          </w:p>
          <w:p w14:paraId="0647801D">
            <w:pPr>
              <w:pStyle w:val="30"/>
            </w:pPr>
            <w:r>
              <w:t xml:space="preserve">d.比选申请函上填写的项目名称、标段号与所比选申请段的项目名称、标段号不一致； </w:t>
            </w:r>
          </w:p>
          <w:p w14:paraId="23ABFF23">
            <w:pPr>
              <w:pStyle w:val="30"/>
            </w:pPr>
            <w:r>
              <w:t xml:space="preserve">e.比选申请报价低于比选人公布的最高比选申请限价的80%。 </w:t>
            </w:r>
          </w:p>
          <w:p w14:paraId="2A3D2FAD">
            <w:pPr>
              <w:pStyle w:val="30"/>
            </w:pPr>
            <w:r>
              <w:t>③评价基准价按一次平均法计算和确定，即：</w:t>
            </w:r>
          </w:p>
          <w:p w14:paraId="55B28FF0">
            <w:pPr>
              <w:pStyle w:val="30"/>
            </w:pPr>
            <w:r>
              <w:t>第一次平均：确定有效比选申请文件的比选申请价算术平均值为A（若有效比选申请文件≤10家时，直接取算术平均值为A；若有效比选申请文件＞N×10家时，去掉其中的N个最高报价和N个最低报价后取算术平均值为A，N为自然数）。</w:t>
            </w:r>
          </w:p>
          <w:p w14:paraId="535499F8">
            <w:pPr>
              <w:pStyle w:val="30"/>
            </w:pPr>
            <w:r>
              <w:t>（3）评选基准价的确定</w:t>
            </w:r>
          </w:p>
          <w:p w14:paraId="525C9623">
            <w:pPr>
              <w:pStyle w:val="30"/>
            </w:pPr>
            <w:r>
              <w:t>评选基准价 = 一次平均法计算后的评选价平均值A</w:t>
            </w:r>
          </w:p>
          <w:p w14:paraId="2D757AA5">
            <w:pPr>
              <w:pStyle w:val="30"/>
            </w:pPr>
            <w:r>
              <w:t xml:space="preserve">    在评选过程中，评选委员会应对比选人计算的评选基准价进行复核，存在计算错误的应予以修正并在评选报告中作出说明。除此之外，评选基准价在整个评选期间保持不变，不随任何因素发生变化。也不随算术性修正而改变，也不因比选申请当事人异议、投诉以及其他任何情形而改变。</w:t>
            </w:r>
          </w:p>
        </w:tc>
      </w:tr>
      <w:tr w14:paraId="4BE25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921"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64111F8A">
            <w:pPr>
              <w:pStyle w:val="29"/>
            </w:pPr>
            <w:r>
              <w:t>2.2.3</w:t>
            </w:r>
          </w:p>
        </w:tc>
        <w:tc>
          <w:tcPr>
            <w:tcW w:w="2092" w:type="dxa"/>
            <w:tcBorders>
              <w:top w:val="single" w:color="000000" w:sz="4" w:space="0"/>
              <w:left w:val="single" w:color="000000" w:sz="4" w:space="0"/>
              <w:bottom w:val="single" w:color="000000" w:sz="4" w:space="0"/>
              <w:right w:val="single" w:color="000000" w:sz="4" w:space="0"/>
            </w:tcBorders>
            <w:vAlign w:val="center"/>
          </w:tcPr>
          <w:p w14:paraId="3207A201">
            <w:pPr>
              <w:pStyle w:val="29"/>
            </w:pPr>
            <w:r>
              <w:t>评选价的偏差率计算公式</w:t>
            </w:r>
          </w:p>
        </w:tc>
        <w:tc>
          <w:tcPr>
            <w:tcW w:w="6379" w:type="dxa"/>
            <w:tcBorders>
              <w:top w:val="single" w:color="000000" w:sz="4" w:space="0"/>
              <w:left w:val="single" w:color="000000" w:sz="4" w:space="0"/>
              <w:bottom w:val="single" w:color="000000" w:sz="4" w:space="0"/>
              <w:right w:val="single" w:color="000000" w:sz="4" w:space="0"/>
            </w:tcBorders>
            <w:vAlign w:val="center"/>
          </w:tcPr>
          <w:p w14:paraId="0DE1E10B">
            <w:pPr>
              <w:pStyle w:val="30"/>
            </w:pPr>
            <w:r>
              <w:t>偏差率=100%*∣（比选申请人评选价-评选基准价）∣/评选基准价</w:t>
            </w:r>
          </w:p>
          <w:p w14:paraId="653A31F1">
            <w:pPr>
              <w:pStyle w:val="30"/>
            </w:pPr>
            <w:r>
              <w:t>偏差率保留 4 位小数。</w:t>
            </w:r>
          </w:p>
        </w:tc>
      </w:tr>
    </w:tbl>
    <w:p w14:paraId="0A984931">
      <w:pPr>
        <w:rPr>
          <w:rStyle w:val="41"/>
          <w:rFonts w:ascii="宋体" w:hAnsi="宋体"/>
          <w:b/>
          <w:sz w:val="21"/>
          <w:szCs w:val="21"/>
        </w:rPr>
      </w:pPr>
      <w:r>
        <w:rPr>
          <w:rStyle w:val="41"/>
          <w:rFonts w:ascii="宋体" w:hAnsi="宋体"/>
          <w:b/>
          <w:sz w:val="21"/>
          <w:szCs w:val="21"/>
        </w:rPr>
        <w:br w:type="page"/>
      </w:r>
    </w:p>
    <w:p w14:paraId="5AB0CB2C">
      <w:pPr>
        <w:pStyle w:val="55"/>
        <w:snapToGrid w:val="0"/>
        <w:spacing w:line="316" w:lineRule="auto"/>
        <w:ind w:left="273" w:firstLine="314"/>
        <w:rPr>
          <w:rStyle w:val="41"/>
          <w:rFonts w:hAnsi="宋体"/>
          <w:b/>
          <w:szCs w:val="21"/>
        </w:rPr>
      </w:pPr>
    </w:p>
    <w:tbl>
      <w:tblPr>
        <w:tblStyle w:val="18"/>
        <w:tblW w:w="506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958"/>
        <w:gridCol w:w="1246"/>
        <w:gridCol w:w="821"/>
        <w:gridCol w:w="5787"/>
      </w:tblGrid>
      <w:tr w14:paraId="4B7B0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844" w:type="dxa"/>
            <w:tcBorders>
              <w:top w:val="single" w:color="000000" w:sz="4" w:space="0"/>
              <w:left w:val="single" w:color="000000" w:sz="4" w:space="0"/>
              <w:bottom w:val="single" w:color="000000" w:sz="4" w:space="0"/>
              <w:right w:val="single" w:color="000000" w:sz="4" w:space="0"/>
            </w:tcBorders>
            <w:vAlign w:val="center"/>
          </w:tcPr>
          <w:p w14:paraId="7163C370">
            <w:pPr>
              <w:pStyle w:val="28"/>
              <w:rPr>
                <w:rFonts w:hint="default"/>
              </w:rPr>
            </w:pPr>
            <w:r>
              <w:t>条款号</w:t>
            </w:r>
          </w:p>
        </w:tc>
        <w:tc>
          <w:tcPr>
            <w:tcW w:w="958" w:type="dxa"/>
            <w:tcBorders>
              <w:top w:val="single" w:color="000000" w:sz="4" w:space="0"/>
              <w:left w:val="single" w:color="000000" w:sz="4" w:space="0"/>
              <w:bottom w:val="single" w:color="000000" w:sz="4" w:space="0"/>
              <w:right w:val="single" w:color="000000" w:sz="4" w:space="0"/>
            </w:tcBorders>
            <w:vAlign w:val="center"/>
          </w:tcPr>
          <w:p w14:paraId="4874B7A3">
            <w:pPr>
              <w:pStyle w:val="28"/>
              <w:rPr>
                <w:rFonts w:hint="default"/>
              </w:rPr>
            </w:pPr>
            <w:r>
              <w:t>评审</w:t>
            </w:r>
          </w:p>
          <w:p w14:paraId="7CB34F83">
            <w:pPr>
              <w:pStyle w:val="28"/>
              <w:rPr>
                <w:rFonts w:hint="default"/>
              </w:rPr>
            </w:pPr>
            <w:r>
              <w:t>因素</w:t>
            </w:r>
          </w:p>
        </w:tc>
        <w:tc>
          <w:tcPr>
            <w:tcW w:w="1246" w:type="dxa"/>
            <w:tcBorders>
              <w:top w:val="single" w:color="000000" w:sz="4" w:space="0"/>
              <w:left w:val="single" w:color="000000" w:sz="4" w:space="0"/>
              <w:bottom w:val="single" w:color="000000" w:sz="4" w:space="0"/>
              <w:right w:val="single" w:color="000000" w:sz="4" w:space="0"/>
            </w:tcBorders>
            <w:vAlign w:val="center"/>
          </w:tcPr>
          <w:p w14:paraId="1CE4C173">
            <w:pPr>
              <w:pStyle w:val="28"/>
              <w:rPr>
                <w:rFonts w:hint="default"/>
              </w:rPr>
            </w:pPr>
            <w:r>
              <w:t>各评审因素</w:t>
            </w:r>
          </w:p>
          <w:p w14:paraId="3BB247A9">
            <w:pPr>
              <w:pStyle w:val="28"/>
              <w:rPr>
                <w:rFonts w:hint="default"/>
              </w:rPr>
            </w:pPr>
            <w:r>
              <w:t>细分项</w:t>
            </w:r>
          </w:p>
        </w:tc>
        <w:tc>
          <w:tcPr>
            <w:tcW w:w="821" w:type="dxa"/>
            <w:tcBorders>
              <w:top w:val="single" w:color="000000" w:sz="4" w:space="0"/>
              <w:left w:val="single" w:color="000000" w:sz="4" w:space="0"/>
              <w:bottom w:val="single" w:color="000000" w:sz="4" w:space="0"/>
              <w:right w:val="single" w:color="000000" w:sz="4" w:space="0"/>
            </w:tcBorders>
            <w:vAlign w:val="center"/>
          </w:tcPr>
          <w:p w14:paraId="47DBDAEC">
            <w:pPr>
              <w:pStyle w:val="28"/>
              <w:rPr>
                <w:rFonts w:hint="default"/>
              </w:rPr>
            </w:pPr>
            <w:r>
              <w:t>分值</w:t>
            </w:r>
          </w:p>
        </w:tc>
        <w:tc>
          <w:tcPr>
            <w:tcW w:w="5787" w:type="dxa"/>
            <w:tcBorders>
              <w:top w:val="single" w:color="000000" w:sz="4" w:space="0"/>
              <w:left w:val="single" w:color="000000" w:sz="4" w:space="0"/>
              <w:bottom w:val="single" w:color="000000" w:sz="4" w:space="0"/>
              <w:right w:val="single" w:color="000000" w:sz="4" w:space="0"/>
            </w:tcBorders>
            <w:vAlign w:val="center"/>
          </w:tcPr>
          <w:p w14:paraId="0BF91845">
            <w:pPr>
              <w:pStyle w:val="28"/>
              <w:rPr>
                <w:rFonts w:hint="default"/>
              </w:rPr>
            </w:pPr>
            <w:r>
              <w:t>评分标准</w:t>
            </w:r>
          </w:p>
        </w:tc>
      </w:tr>
      <w:tr w14:paraId="14DAD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844" w:type="dxa"/>
            <w:vMerge w:val="restart"/>
            <w:tcBorders>
              <w:top w:val="single" w:color="000000" w:sz="4" w:space="0"/>
              <w:left w:val="single" w:color="000000" w:sz="4" w:space="0"/>
              <w:right w:val="single" w:color="000000" w:sz="4" w:space="0"/>
            </w:tcBorders>
            <w:vAlign w:val="center"/>
          </w:tcPr>
          <w:p w14:paraId="428C8230">
            <w:pPr>
              <w:pStyle w:val="29"/>
            </w:pPr>
            <w:r>
              <w:t>2.2.4（1）</w:t>
            </w:r>
          </w:p>
        </w:tc>
        <w:tc>
          <w:tcPr>
            <w:tcW w:w="958" w:type="dxa"/>
            <w:vMerge w:val="restart"/>
            <w:tcBorders>
              <w:top w:val="single" w:color="000000" w:sz="4" w:space="0"/>
              <w:left w:val="single" w:color="000000" w:sz="4" w:space="0"/>
              <w:right w:val="single" w:color="000000" w:sz="4" w:space="0"/>
            </w:tcBorders>
            <w:vAlign w:val="center"/>
          </w:tcPr>
          <w:p w14:paraId="563C17E1">
            <w:pPr>
              <w:pStyle w:val="29"/>
            </w:pPr>
            <w:r>
              <w:t>技术</w:t>
            </w:r>
          </w:p>
          <w:p w14:paraId="36992B92">
            <w:pPr>
              <w:pStyle w:val="29"/>
            </w:pPr>
            <w:r>
              <w:t>建议书（</w:t>
            </w:r>
            <w:r>
              <w:rPr>
                <w:rFonts w:hint="eastAsia"/>
              </w:rPr>
              <w:t>3</w:t>
            </w:r>
            <w:r>
              <w:rPr>
                <w:rFonts w:hint="eastAsia"/>
                <w:lang w:val="en-US" w:eastAsia="zh-CN"/>
              </w:rPr>
              <w:t>0</w:t>
            </w:r>
            <w:r>
              <w:t>分）</w:t>
            </w:r>
          </w:p>
        </w:tc>
        <w:tc>
          <w:tcPr>
            <w:tcW w:w="1246" w:type="dxa"/>
            <w:tcBorders>
              <w:top w:val="single" w:color="000000" w:sz="4" w:space="0"/>
              <w:left w:val="single" w:color="000000" w:sz="4" w:space="0"/>
              <w:bottom w:val="single" w:color="000000" w:sz="4" w:space="0"/>
              <w:right w:val="single" w:color="000000" w:sz="4" w:space="0"/>
            </w:tcBorders>
            <w:vAlign w:val="center"/>
          </w:tcPr>
          <w:p w14:paraId="472F2F60">
            <w:pPr>
              <w:pStyle w:val="29"/>
            </w:pPr>
            <w:r>
              <w:t>监理</w:t>
            </w:r>
            <w:r>
              <w:rPr>
                <w:rFonts w:hint="eastAsia"/>
              </w:rPr>
              <w:t>试验室</w:t>
            </w:r>
            <w:r>
              <w:t>大纲和措施</w:t>
            </w:r>
          </w:p>
        </w:tc>
        <w:tc>
          <w:tcPr>
            <w:tcW w:w="821" w:type="dxa"/>
            <w:tcBorders>
              <w:top w:val="single" w:color="000000" w:sz="4" w:space="0"/>
              <w:left w:val="single" w:color="000000" w:sz="4" w:space="0"/>
              <w:bottom w:val="single" w:color="000000" w:sz="4" w:space="0"/>
              <w:right w:val="single" w:color="000000" w:sz="4" w:space="0"/>
            </w:tcBorders>
            <w:vAlign w:val="center"/>
          </w:tcPr>
          <w:p w14:paraId="5ADFF8E3">
            <w:pPr>
              <w:pStyle w:val="29"/>
            </w:pPr>
            <w:r>
              <w:t>1</w:t>
            </w:r>
            <w:r>
              <w:rPr>
                <w:rFonts w:hint="eastAsia"/>
                <w:lang w:val="en-US" w:eastAsia="zh-CN"/>
              </w:rPr>
              <w:t>0</w:t>
            </w:r>
            <w:r>
              <w:t>.0分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59FDF855">
            <w:pPr>
              <w:pStyle w:val="30"/>
            </w:pPr>
            <w:r>
              <w:t>根据项目提出的施工监理</w:t>
            </w:r>
            <w:r>
              <w:rPr>
                <w:rFonts w:hint="eastAsia"/>
              </w:rPr>
              <w:t>试验室</w:t>
            </w:r>
            <w:r>
              <w:t>大纲及措施科学性、合理性，无此项得0分，一般得6-7.5分，良得7.6-9.0 分，优得9.1-10分</w:t>
            </w:r>
            <w:bookmarkStart w:id="43" w:name="_GoBack"/>
            <w:bookmarkEnd w:id="43"/>
          </w:p>
        </w:tc>
      </w:tr>
      <w:tr w14:paraId="4E1E8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844" w:type="dxa"/>
            <w:vMerge w:val="continue"/>
            <w:tcBorders>
              <w:left w:val="single" w:color="000000" w:sz="4" w:space="0"/>
              <w:right w:val="single" w:color="000000" w:sz="4" w:space="0"/>
            </w:tcBorders>
            <w:vAlign w:val="center"/>
          </w:tcPr>
          <w:p w14:paraId="4D7C3BA0">
            <w:pPr>
              <w:pStyle w:val="29"/>
            </w:pPr>
          </w:p>
        </w:tc>
        <w:tc>
          <w:tcPr>
            <w:tcW w:w="958" w:type="dxa"/>
            <w:vMerge w:val="continue"/>
            <w:tcBorders>
              <w:left w:val="single" w:color="000000" w:sz="4" w:space="0"/>
              <w:right w:val="single" w:color="000000" w:sz="4" w:space="0"/>
            </w:tcBorders>
            <w:vAlign w:val="center"/>
          </w:tcPr>
          <w:p w14:paraId="6ED2EEA6">
            <w:pPr>
              <w:pStyle w:val="29"/>
            </w:pPr>
          </w:p>
        </w:tc>
        <w:tc>
          <w:tcPr>
            <w:tcW w:w="1246" w:type="dxa"/>
            <w:tcBorders>
              <w:top w:val="single" w:color="000000" w:sz="4" w:space="0"/>
              <w:left w:val="single" w:color="000000" w:sz="4" w:space="0"/>
              <w:bottom w:val="single" w:color="000000" w:sz="4" w:space="0"/>
              <w:right w:val="single" w:color="000000" w:sz="4" w:space="0"/>
            </w:tcBorders>
            <w:vAlign w:val="center"/>
          </w:tcPr>
          <w:p w14:paraId="12E06AA7">
            <w:pPr>
              <w:pStyle w:val="29"/>
            </w:pPr>
            <w:r>
              <w:t>本工程监理</w:t>
            </w:r>
            <w:r>
              <w:rPr>
                <w:rFonts w:hint="eastAsia"/>
              </w:rPr>
              <w:t>试验室</w:t>
            </w:r>
            <w:r>
              <w:t>工作的重点与难点分析</w:t>
            </w:r>
          </w:p>
        </w:tc>
        <w:tc>
          <w:tcPr>
            <w:tcW w:w="821" w:type="dxa"/>
            <w:tcBorders>
              <w:top w:val="single" w:color="000000" w:sz="4" w:space="0"/>
              <w:left w:val="single" w:color="000000" w:sz="4" w:space="0"/>
              <w:bottom w:val="single" w:color="000000" w:sz="4" w:space="0"/>
              <w:right w:val="single" w:color="000000" w:sz="4" w:space="0"/>
            </w:tcBorders>
            <w:vAlign w:val="center"/>
          </w:tcPr>
          <w:p w14:paraId="00BBFBB4">
            <w:pPr>
              <w:pStyle w:val="29"/>
            </w:pPr>
            <w:r>
              <w:t>10.0分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274B9BA6">
            <w:pPr>
              <w:pStyle w:val="30"/>
            </w:pPr>
            <w:r>
              <w:t>根据项目重点与难点提出的方法和措施科学性、合理性，无此项得0分，一般得6-7.5分，良得7.6-9.0 分，优得9.1-10分</w:t>
            </w:r>
          </w:p>
        </w:tc>
      </w:tr>
      <w:tr w14:paraId="74822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844" w:type="dxa"/>
            <w:vMerge w:val="continue"/>
            <w:tcBorders>
              <w:left w:val="single" w:color="000000" w:sz="4" w:space="0"/>
              <w:right w:val="single" w:color="000000" w:sz="4" w:space="0"/>
            </w:tcBorders>
            <w:vAlign w:val="center"/>
          </w:tcPr>
          <w:p w14:paraId="3E0CED26">
            <w:pPr>
              <w:pStyle w:val="29"/>
            </w:pPr>
          </w:p>
        </w:tc>
        <w:tc>
          <w:tcPr>
            <w:tcW w:w="958" w:type="dxa"/>
            <w:vMerge w:val="continue"/>
            <w:tcBorders>
              <w:left w:val="single" w:color="000000" w:sz="4" w:space="0"/>
              <w:right w:val="single" w:color="000000" w:sz="4" w:space="0"/>
            </w:tcBorders>
            <w:vAlign w:val="center"/>
          </w:tcPr>
          <w:p w14:paraId="2B6BFF80">
            <w:pPr>
              <w:pStyle w:val="29"/>
            </w:pPr>
          </w:p>
        </w:tc>
        <w:tc>
          <w:tcPr>
            <w:tcW w:w="1246" w:type="dxa"/>
            <w:tcBorders>
              <w:top w:val="single" w:color="000000" w:sz="4" w:space="0"/>
              <w:left w:val="single" w:color="000000" w:sz="4" w:space="0"/>
              <w:bottom w:val="single" w:color="000000" w:sz="4" w:space="0"/>
              <w:right w:val="single" w:color="000000" w:sz="4" w:space="0"/>
            </w:tcBorders>
            <w:vAlign w:val="center"/>
          </w:tcPr>
          <w:p w14:paraId="37B752B0">
            <w:pPr>
              <w:pStyle w:val="29"/>
            </w:pPr>
            <w:r>
              <w:t>对本工程的建议</w:t>
            </w:r>
          </w:p>
        </w:tc>
        <w:tc>
          <w:tcPr>
            <w:tcW w:w="821" w:type="dxa"/>
            <w:tcBorders>
              <w:top w:val="single" w:color="000000" w:sz="4" w:space="0"/>
              <w:left w:val="single" w:color="000000" w:sz="4" w:space="0"/>
              <w:bottom w:val="single" w:color="000000" w:sz="4" w:space="0"/>
              <w:right w:val="single" w:color="000000" w:sz="4" w:space="0"/>
            </w:tcBorders>
            <w:vAlign w:val="center"/>
          </w:tcPr>
          <w:p w14:paraId="779794A7">
            <w:pPr>
              <w:pStyle w:val="29"/>
            </w:pPr>
            <w:r>
              <w:t>10.0分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0F6E3C72">
            <w:pPr>
              <w:pStyle w:val="30"/>
            </w:pPr>
            <w:r>
              <w:t>根据项目特点提出的建议，无此项得0分，一般得6-7.5分，良得7.6-9.0 分，优得9.1-10分。</w:t>
            </w:r>
          </w:p>
        </w:tc>
      </w:tr>
      <w:tr w14:paraId="333E1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844" w:type="dxa"/>
            <w:vMerge w:val="continue"/>
            <w:tcBorders>
              <w:left w:val="single" w:color="000000" w:sz="4" w:space="0"/>
              <w:bottom w:val="single" w:color="000000" w:sz="4" w:space="0"/>
              <w:right w:val="single" w:color="000000" w:sz="4" w:space="0"/>
            </w:tcBorders>
            <w:vAlign w:val="center"/>
          </w:tcPr>
          <w:p w14:paraId="7331F235">
            <w:pPr>
              <w:pStyle w:val="29"/>
            </w:pPr>
          </w:p>
        </w:tc>
        <w:tc>
          <w:tcPr>
            <w:tcW w:w="958" w:type="dxa"/>
            <w:vMerge w:val="continue"/>
            <w:tcBorders>
              <w:left w:val="single" w:color="000000" w:sz="4" w:space="0"/>
              <w:bottom w:val="single" w:color="000000" w:sz="4" w:space="0"/>
              <w:right w:val="single" w:color="000000" w:sz="4" w:space="0"/>
            </w:tcBorders>
            <w:vAlign w:val="center"/>
          </w:tcPr>
          <w:p w14:paraId="2EACA946">
            <w:pPr>
              <w:pStyle w:val="29"/>
            </w:pP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72322430">
            <w:pPr>
              <w:pStyle w:val="30"/>
            </w:pPr>
            <w:r>
              <w:t>注：在计算</w:t>
            </w:r>
            <w:r>
              <w:rPr>
                <w:rFonts w:hint="eastAsia"/>
              </w:rPr>
              <w:t>技术建议书</w:t>
            </w:r>
            <w:r>
              <w:t>得分时，各评分因素得分应以评选委员会各成员的打分平均值确定，保留小数点后2位，小数点后第三位“四舍五入”</w:t>
            </w:r>
          </w:p>
        </w:tc>
      </w:tr>
      <w:tr w14:paraId="4E3EC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6147C125">
            <w:pPr>
              <w:pStyle w:val="29"/>
            </w:pPr>
            <w:r>
              <w:t>2.2.4（</w:t>
            </w:r>
            <w:r>
              <w:rPr>
                <w:rFonts w:hint="eastAsia"/>
              </w:rPr>
              <w:t>2</w:t>
            </w:r>
            <w:r>
              <w:t>）</w:t>
            </w:r>
          </w:p>
        </w:tc>
        <w:tc>
          <w:tcPr>
            <w:tcW w:w="958" w:type="dxa"/>
            <w:tcBorders>
              <w:top w:val="single" w:color="000000" w:sz="4" w:space="0"/>
              <w:left w:val="single" w:color="000000" w:sz="4" w:space="0"/>
              <w:bottom w:val="single" w:color="000000" w:sz="4" w:space="0"/>
              <w:right w:val="single" w:color="000000" w:sz="4" w:space="0"/>
            </w:tcBorders>
            <w:vAlign w:val="center"/>
          </w:tcPr>
          <w:p w14:paraId="44F86A88">
            <w:pPr>
              <w:pStyle w:val="29"/>
            </w:pPr>
            <w:r>
              <w:rPr>
                <w:rFonts w:hint="eastAsia"/>
              </w:rPr>
              <w:t>人员</w:t>
            </w:r>
          </w:p>
        </w:tc>
        <w:tc>
          <w:tcPr>
            <w:tcW w:w="1246" w:type="dxa"/>
            <w:tcBorders>
              <w:top w:val="single" w:color="000000" w:sz="4" w:space="0"/>
              <w:left w:val="single" w:color="000000" w:sz="4" w:space="0"/>
              <w:bottom w:val="single" w:color="000000" w:sz="4" w:space="0"/>
              <w:right w:val="single" w:color="000000" w:sz="4" w:space="0"/>
            </w:tcBorders>
            <w:vAlign w:val="center"/>
          </w:tcPr>
          <w:p w14:paraId="33E33820">
            <w:pPr>
              <w:pStyle w:val="29"/>
            </w:pPr>
            <w:r>
              <w:rPr>
                <w:rFonts w:hint="eastAsia"/>
              </w:rPr>
              <w:t>试验室主任</w:t>
            </w:r>
            <w:r>
              <w:t>任职资格与业绩</w:t>
            </w:r>
          </w:p>
        </w:tc>
        <w:tc>
          <w:tcPr>
            <w:tcW w:w="821" w:type="dxa"/>
            <w:tcBorders>
              <w:top w:val="single" w:color="000000" w:sz="4" w:space="0"/>
              <w:left w:val="single" w:color="000000" w:sz="4" w:space="0"/>
              <w:bottom w:val="single" w:color="000000" w:sz="4" w:space="0"/>
              <w:right w:val="single" w:color="000000" w:sz="4" w:space="0"/>
            </w:tcBorders>
            <w:vAlign w:val="center"/>
          </w:tcPr>
          <w:p w14:paraId="27E17ACC">
            <w:pPr>
              <w:pStyle w:val="29"/>
            </w:pPr>
            <w:r>
              <w:rPr>
                <w:rFonts w:hint="eastAsia"/>
              </w:rPr>
              <w:t>30</w:t>
            </w:r>
            <w:r>
              <w:t>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1091B529">
            <w:pPr>
              <w:pStyle w:val="30"/>
            </w:pPr>
            <w:r>
              <w:t>（1）满足附录</w:t>
            </w:r>
            <w:r>
              <w:rPr>
                <w:rFonts w:hint="eastAsia"/>
              </w:rPr>
              <w:t>3</w:t>
            </w:r>
            <w:r>
              <w:t>资格审查条件中</w:t>
            </w:r>
            <w:r>
              <w:rPr>
                <w:rFonts w:hint="eastAsia"/>
              </w:rPr>
              <w:t>试验室主任</w:t>
            </w:r>
            <w:r>
              <w:t>最低要求得</w:t>
            </w:r>
            <w:r>
              <w:rPr>
                <w:rFonts w:hint="eastAsia"/>
              </w:rPr>
              <w:t>18</w:t>
            </w:r>
            <w:r>
              <w:t>分；</w:t>
            </w:r>
          </w:p>
          <w:p w14:paraId="11620C97">
            <w:pPr>
              <w:pStyle w:val="30"/>
            </w:pPr>
            <w:r>
              <w:t>（2）扣除满足资格条件最低要求的业绩个数后：每增加 1 个新建</w:t>
            </w:r>
            <w:r>
              <w:rPr>
                <w:rFonts w:hint="eastAsia"/>
              </w:rPr>
              <w:t>或改扩建</w:t>
            </w:r>
            <w:r>
              <w:t>高速公路路基土建工程或路面工程监理试验室</w:t>
            </w:r>
            <w:r>
              <w:rPr>
                <w:rFonts w:hint="eastAsia"/>
              </w:rPr>
              <w:t>试验室主任</w:t>
            </w:r>
            <w:r>
              <w:t>职务业绩加6分，</w:t>
            </w:r>
            <w:r>
              <w:rPr>
                <w:rFonts w:hint="eastAsia"/>
              </w:rPr>
              <w:t>最多</w:t>
            </w:r>
            <w:r>
              <w:t>累计加</w:t>
            </w:r>
            <w:r>
              <w:rPr>
                <w:rFonts w:hint="eastAsia"/>
              </w:rPr>
              <w:t>12</w:t>
            </w:r>
            <w:r>
              <w:t>分；</w:t>
            </w:r>
          </w:p>
          <w:p w14:paraId="23042851">
            <w:pPr>
              <w:pStyle w:val="30"/>
            </w:pPr>
            <w:r>
              <w:t>注：</w:t>
            </w:r>
          </w:p>
          <w:p w14:paraId="73018A4D">
            <w:pPr>
              <w:pStyle w:val="30"/>
            </w:pPr>
            <w:r>
              <w:t>1.路基土建工程指须至少包含“路基工程、桥梁工程”或“路基工程、隧道工程”的项目。</w:t>
            </w:r>
          </w:p>
          <w:p w14:paraId="273A1624">
            <w:pPr>
              <w:pStyle w:val="30"/>
            </w:pPr>
            <w:r>
              <w:t>2.业绩中路基土建工程可为合同中包含该施工监理内容的项目或者单独合同的项目。</w:t>
            </w:r>
          </w:p>
        </w:tc>
      </w:tr>
      <w:tr w14:paraId="45A23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71C1CFCF">
            <w:pPr>
              <w:pStyle w:val="29"/>
            </w:pPr>
            <w:r>
              <w:t>2.2.4（</w:t>
            </w:r>
            <w:r>
              <w:rPr>
                <w:rFonts w:hint="eastAsia"/>
              </w:rPr>
              <w:t>3</w:t>
            </w:r>
            <w:r>
              <w:t>）</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14:paraId="195C7885">
            <w:pPr>
              <w:pStyle w:val="29"/>
            </w:pPr>
            <w:r>
              <w:t>业绩</w:t>
            </w:r>
          </w:p>
        </w:tc>
        <w:tc>
          <w:tcPr>
            <w:tcW w:w="821" w:type="dxa"/>
            <w:tcBorders>
              <w:top w:val="single" w:color="000000" w:sz="4" w:space="0"/>
              <w:left w:val="single" w:color="000000" w:sz="4" w:space="0"/>
              <w:bottom w:val="single" w:color="000000" w:sz="4" w:space="0"/>
              <w:right w:val="single" w:color="000000" w:sz="4" w:space="0"/>
            </w:tcBorders>
            <w:vAlign w:val="center"/>
          </w:tcPr>
          <w:p w14:paraId="31743B40">
            <w:pPr>
              <w:pStyle w:val="29"/>
            </w:pPr>
            <w:r>
              <w:rPr>
                <w:rFonts w:hint="eastAsia"/>
              </w:rPr>
              <w:t>30</w:t>
            </w:r>
            <w:r>
              <w:t>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5814ACEE">
            <w:pPr>
              <w:pStyle w:val="30"/>
            </w:pPr>
            <w:r>
              <w:t>（1）满足附录</w:t>
            </w:r>
            <w:r>
              <w:rPr>
                <w:rFonts w:hint="eastAsia"/>
              </w:rPr>
              <w:t>2</w:t>
            </w:r>
            <w:r>
              <w:t>资格审查条件中</w:t>
            </w:r>
            <w:r>
              <w:rPr>
                <w:rFonts w:hint="eastAsia"/>
              </w:rPr>
              <w:t>业绩最低</w:t>
            </w:r>
            <w:r>
              <w:t>要求的18分；</w:t>
            </w:r>
          </w:p>
          <w:p w14:paraId="70224BF9">
            <w:pPr>
              <w:pStyle w:val="30"/>
            </w:pPr>
            <w:r>
              <w:t>（2）扣除资格审查业绩要求的最低个数后，2019年</w:t>
            </w:r>
            <w:r>
              <w:rPr>
                <w:rFonts w:hint="eastAsia"/>
              </w:rPr>
              <w:t>9</w:t>
            </w:r>
            <w:r>
              <w:t>月1日起至今（以项目交工验收时间为准）：每增加1个国内新建</w:t>
            </w:r>
            <w:r>
              <w:rPr>
                <w:rFonts w:hint="eastAsia"/>
              </w:rPr>
              <w:t>或改扩建</w:t>
            </w:r>
            <w:r>
              <w:t>高速公路路基土建工程</w:t>
            </w:r>
            <w:r>
              <w:rPr>
                <w:rFonts w:hint="eastAsia"/>
              </w:rPr>
              <w:t>或路面工程</w:t>
            </w:r>
            <w:r>
              <w:t>施工监理</w:t>
            </w:r>
            <w:r>
              <w:rPr>
                <w:rFonts w:hint="eastAsia"/>
              </w:rPr>
              <w:t>试验室</w:t>
            </w:r>
            <w:r>
              <w:t>业绩加4分，此细项加分最高为12分。</w:t>
            </w:r>
          </w:p>
          <w:p w14:paraId="42EA27FD">
            <w:pPr>
              <w:pStyle w:val="30"/>
            </w:pPr>
            <w:r>
              <w:t>注：</w:t>
            </w:r>
          </w:p>
          <w:p w14:paraId="16FBFF5A">
            <w:pPr>
              <w:pStyle w:val="30"/>
            </w:pPr>
            <w:r>
              <w:t>1.路基土建工程指须至少包含“路基工程、桥梁工程”或“路基工程、隧道工程”的项目。</w:t>
            </w:r>
          </w:p>
          <w:p w14:paraId="0AEE1750">
            <w:pPr>
              <w:pStyle w:val="30"/>
            </w:pPr>
            <w:r>
              <w:t>2若在同一项目中同时完成多个标段，可分别计算业绩。</w:t>
            </w:r>
          </w:p>
        </w:tc>
      </w:tr>
      <w:tr w14:paraId="0CA6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494C381B">
            <w:pPr>
              <w:pStyle w:val="29"/>
            </w:pPr>
            <w:r>
              <w:t>2.2.4（</w:t>
            </w:r>
            <w:r>
              <w:rPr>
                <w:rFonts w:hint="eastAsia"/>
              </w:rPr>
              <w:t>4</w:t>
            </w:r>
            <w:r>
              <w:t>）</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14:paraId="7CB0C661">
            <w:pPr>
              <w:pStyle w:val="29"/>
            </w:pPr>
            <w:r>
              <w:rPr>
                <w:rFonts w:hint="eastAsia"/>
              </w:rPr>
              <w:t>评选价</w:t>
            </w:r>
          </w:p>
        </w:tc>
        <w:tc>
          <w:tcPr>
            <w:tcW w:w="821" w:type="dxa"/>
            <w:tcBorders>
              <w:top w:val="single" w:color="000000" w:sz="4" w:space="0"/>
              <w:left w:val="single" w:color="000000" w:sz="4" w:space="0"/>
              <w:bottom w:val="single" w:color="000000" w:sz="4" w:space="0"/>
              <w:right w:val="single" w:color="000000" w:sz="4" w:space="0"/>
            </w:tcBorders>
            <w:vAlign w:val="center"/>
          </w:tcPr>
          <w:p w14:paraId="7A246B16">
            <w:pPr>
              <w:pStyle w:val="29"/>
            </w:pPr>
            <w:r>
              <w:rPr>
                <w:rFonts w:hint="eastAsia"/>
              </w:rPr>
              <w:t>1</w:t>
            </w:r>
            <w:r>
              <w:t>0分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58FB94D9">
            <w:pPr>
              <w:pStyle w:val="30"/>
            </w:pPr>
            <w:r>
              <w:t>评选价得分计算公式:</w:t>
            </w:r>
          </w:p>
          <w:p w14:paraId="3E54FC01">
            <w:pPr>
              <w:pStyle w:val="30"/>
            </w:pPr>
            <w:r>
              <w:t>如果比选申请人的评选价﹥评选基准价：</w:t>
            </w:r>
          </w:p>
          <w:p w14:paraId="6A76E36D">
            <w:pPr>
              <w:pStyle w:val="30"/>
            </w:pPr>
            <w:r>
              <w:t>则评选价得分=</w:t>
            </w:r>
            <w:r>
              <w:rPr>
                <w:rFonts w:hint="eastAsia"/>
              </w:rPr>
              <w:t>1</w:t>
            </w:r>
            <w:r>
              <w:t>0-偏差率×100×1.2；</w:t>
            </w:r>
          </w:p>
          <w:p w14:paraId="2D0EF550">
            <w:pPr>
              <w:pStyle w:val="30"/>
            </w:pPr>
            <w:r>
              <w:t>如果比选申请人的评选价≤评选基准价:</w:t>
            </w:r>
          </w:p>
          <w:p w14:paraId="2E18CAF9">
            <w:pPr>
              <w:pStyle w:val="30"/>
            </w:pPr>
            <w:r>
              <w:t>则评选价得分=</w:t>
            </w:r>
            <w:r>
              <w:rPr>
                <w:rFonts w:hint="eastAsia"/>
              </w:rPr>
              <w:t>1</w:t>
            </w:r>
            <w:r>
              <w:t>0-偏差率×100×1.0；</w:t>
            </w:r>
          </w:p>
          <w:p w14:paraId="75C1DB36">
            <w:pPr>
              <w:pStyle w:val="30"/>
            </w:pPr>
            <w:r>
              <w:t>评选价得分计算“四舍五入”至少保留小数点后四位，直至能确定评选价得分排序为止。最低得0分。</w:t>
            </w:r>
          </w:p>
        </w:tc>
      </w:tr>
      <w:tr w14:paraId="6F3F9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802" w:type="dxa"/>
            <w:gridSpan w:val="2"/>
            <w:tcBorders>
              <w:top w:val="single" w:color="000000" w:sz="4" w:space="0"/>
              <w:left w:val="single" w:color="000000" w:sz="4" w:space="0"/>
              <w:bottom w:val="single" w:color="000000" w:sz="4" w:space="0"/>
              <w:right w:val="single" w:color="000000" w:sz="4" w:space="0"/>
            </w:tcBorders>
            <w:vAlign w:val="center"/>
          </w:tcPr>
          <w:p w14:paraId="2D40B6F9">
            <w:pPr>
              <w:snapToGrid w:val="0"/>
              <w:spacing w:line="360" w:lineRule="auto"/>
              <w:jc w:val="center"/>
              <w:rPr>
                <w:rStyle w:val="41"/>
                <w:rFonts w:ascii="宋体"/>
                <w:sz w:val="21"/>
                <w:szCs w:val="21"/>
              </w:rPr>
            </w:pPr>
            <w:r>
              <w:rPr>
                <w:rStyle w:val="41"/>
                <w:rFonts w:ascii="宋体" w:hAnsi="宋体"/>
                <w:sz w:val="21"/>
                <w:szCs w:val="21"/>
              </w:rPr>
              <w:t>条款号</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035640B9">
            <w:pPr>
              <w:snapToGrid w:val="0"/>
              <w:spacing w:line="360" w:lineRule="auto"/>
              <w:jc w:val="center"/>
              <w:rPr>
                <w:rStyle w:val="41"/>
                <w:rFonts w:ascii="宋体"/>
                <w:sz w:val="21"/>
                <w:szCs w:val="21"/>
              </w:rPr>
            </w:pPr>
            <w:r>
              <w:rPr>
                <w:rStyle w:val="41"/>
                <w:rFonts w:ascii="宋体" w:hAnsi="宋体"/>
                <w:sz w:val="21"/>
                <w:szCs w:val="21"/>
              </w:rPr>
              <w:t>评审因素与评审标准</w:t>
            </w:r>
          </w:p>
        </w:tc>
      </w:tr>
      <w:tr w14:paraId="636C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4CCEC270">
            <w:pPr>
              <w:pStyle w:val="29"/>
            </w:pPr>
            <w:r>
              <w:t>3.1</w:t>
            </w:r>
          </w:p>
          <w:p w14:paraId="7AB3923B">
            <w:pPr>
              <w:pStyle w:val="29"/>
            </w:pPr>
            <w:r>
              <w:t>初步评审</w:t>
            </w:r>
          </w:p>
        </w:tc>
        <w:tc>
          <w:tcPr>
            <w:tcW w:w="958" w:type="dxa"/>
            <w:tcBorders>
              <w:top w:val="single" w:color="000000" w:sz="4" w:space="0"/>
              <w:left w:val="single" w:color="000000" w:sz="4" w:space="0"/>
              <w:bottom w:val="single" w:color="000000" w:sz="4" w:space="0"/>
              <w:right w:val="single" w:color="000000" w:sz="4" w:space="0"/>
            </w:tcBorders>
            <w:vAlign w:val="center"/>
          </w:tcPr>
          <w:p w14:paraId="4C4E3E56">
            <w:pPr>
              <w:pStyle w:val="29"/>
            </w:pPr>
            <w:r>
              <w:t>3.1.1</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4D0D5CF4">
            <w:pPr>
              <w:pStyle w:val="30"/>
            </w:pPr>
            <w:r>
              <w:t>评选委员会依据本章第2.1.1、2.1.2、2.1.3款规定的标准对比选申请文件进行初步评审。有一项不符合评审标准的，其比选申请予以否决。</w:t>
            </w:r>
          </w:p>
          <w:p w14:paraId="6A872C52">
            <w:pPr>
              <w:pStyle w:val="30"/>
            </w:pPr>
            <w:r>
              <w:t>补充：当通过初步评审比选申请人仅有1名时，评选委员会应否决其比选申请。</w:t>
            </w:r>
          </w:p>
        </w:tc>
      </w:tr>
      <w:tr w14:paraId="1AB1C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vMerge w:val="restart"/>
            <w:tcBorders>
              <w:top w:val="single" w:color="000000" w:sz="4" w:space="0"/>
              <w:left w:val="single" w:color="000000" w:sz="4" w:space="0"/>
              <w:bottom w:val="single" w:color="000000" w:sz="4" w:space="0"/>
              <w:right w:val="single" w:color="000000" w:sz="4" w:space="0"/>
            </w:tcBorders>
            <w:vAlign w:val="center"/>
          </w:tcPr>
          <w:p w14:paraId="739BEFFC">
            <w:pPr>
              <w:pStyle w:val="29"/>
            </w:pPr>
            <w:r>
              <w:t>3.2</w:t>
            </w:r>
          </w:p>
          <w:p w14:paraId="64ED7875">
            <w:pPr>
              <w:pStyle w:val="29"/>
            </w:pPr>
            <w:r>
              <w:t>详细评审</w:t>
            </w:r>
          </w:p>
        </w:tc>
        <w:tc>
          <w:tcPr>
            <w:tcW w:w="958" w:type="dxa"/>
            <w:tcBorders>
              <w:top w:val="single" w:color="000000" w:sz="4" w:space="0"/>
              <w:left w:val="single" w:color="000000" w:sz="4" w:space="0"/>
              <w:bottom w:val="single" w:color="000000" w:sz="4" w:space="0"/>
              <w:right w:val="single" w:color="000000" w:sz="4" w:space="0"/>
            </w:tcBorders>
            <w:vAlign w:val="center"/>
          </w:tcPr>
          <w:p w14:paraId="027D56CD">
            <w:pPr>
              <w:pStyle w:val="29"/>
            </w:pPr>
            <w:r>
              <w:t>3.2.1</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7D5A0E2A">
            <w:pPr>
              <w:pStyle w:val="30"/>
            </w:pPr>
            <w:r>
              <w:t>（1）按本章第2.2.4（1）项规定的评审因素和分值对</w:t>
            </w:r>
            <w:r>
              <w:rPr>
                <w:rFonts w:hint="eastAsia"/>
              </w:rPr>
              <w:t>技术建议书</w:t>
            </w:r>
            <w:r>
              <w:t>部分计算出得分A；</w:t>
            </w:r>
          </w:p>
          <w:p w14:paraId="3099808B">
            <w:pPr>
              <w:pStyle w:val="30"/>
            </w:pPr>
            <w:r>
              <w:t>（2）按本章第2.2.4（2）项规定的评审因素和分值对</w:t>
            </w:r>
            <w:r>
              <w:rPr>
                <w:rFonts w:hint="eastAsia"/>
              </w:rPr>
              <w:t>主要人员部分</w:t>
            </w:r>
            <w:r>
              <w:t>计算出得分B；</w:t>
            </w:r>
          </w:p>
          <w:p w14:paraId="2285219F">
            <w:pPr>
              <w:pStyle w:val="30"/>
            </w:pPr>
            <w:r>
              <w:t>（3）按本章第2.2.4（3）项规定的评审因素和分值对</w:t>
            </w:r>
            <w:r>
              <w:rPr>
                <w:rFonts w:hint="eastAsia"/>
              </w:rPr>
              <w:t>业绩</w:t>
            </w:r>
            <w:r>
              <w:t>部分计算出得分C。</w:t>
            </w:r>
          </w:p>
          <w:p w14:paraId="1B4C02D8">
            <w:pPr>
              <w:pStyle w:val="30"/>
            </w:pPr>
            <w:r>
              <w:rPr>
                <w:rFonts w:hint="eastAsia"/>
              </w:rPr>
              <w:t>（4</w:t>
            </w:r>
            <w:r>
              <w:t>）按本章第2.2.4（3）项规定的评审因素和分值对评选价部分计算出得分</w:t>
            </w:r>
            <w:r>
              <w:rPr>
                <w:rFonts w:hint="eastAsia"/>
              </w:rPr>
              <w:t>D</w:t>
            </w:r>
            <w:r>
              <w:t>。</w:t>
            </w:r>
          </w:p>
        </w:tc>
      </w:tr>
      <w:tr w14:paraId="282C4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vMerge w:val="continue"/>
            <w:tcBorders>
              <w:top w:val="single" w:color="000000" w:sz="4" w:space="0"/>
              <w:left w:val="single" w:color="000000" w:sz="4" w:space="0"/>
              <w:bottom w:val="single" w:color="000000" w:sz="4" w:space="0"/>
              <w:right w:val="single" w:color="000000" w:sz="4" w:space="0"/>
            </w:tcBorders>
            <w:vAlign w:val="center"/>
          </w:tcPr>
          <w:p w14:paraId="572547DC">
            <w:pPr>
              <w:pStyle w:val="29"/>
            </w:pPr>
          </w:p>
        </w:tc>
        <w:tc>
          <w:tcPr>
            <w:tcW w:w="958" w:type="dxa"/>
            <w:tcBorders>
              <w:top w:val="single" w:color="000000" w:sz="4" w:space="0"/>
              <w:left w:val="single" w:color="000000" w:sz="4" w:space="0"/>
              <w:bottom w:val="single" w:color="000000" w:sz="4" w:space="0"/>
              <w:right w:val="single" w:color="000000" w:sz="4" w:space="0"/>
            </w:tcBorders>
            <w:vAlign w:val="center"/>
          </w:tcPr>
          <w:p w14:paraId="7E1A3AA1">
            <w:pPr>
              <w:pStyle w:val="29"/>
            </w:pPr>
            <w:r>
              <w:t>3.2.2</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1255DD5E">
            <w:pPr>
              <w:pStyle w:val="30"/>
            </w:pPr>
            <w:r>
              <w:t>比选申请人的得分分值计算保留小数点后二位，小数点后第五位“四舍五入”。</w:t>
            </w:r>
          </w:p>
        </w:tc>
      </w:tr>
      <w:tr w14:paraId="05B0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vMerge w:val="continue"/>
            <w:tcBorders>
              <w:top w:val="single" w:color="000000" w:sz="4" w:space="0"/>
              <w:left w:val="single" w:color="000000" w:sz="4" w:space="0"/>
              <w:bottom w:val="single" w:color="000000" w:sz="4" w:space="0"/>
              <w:right w:val="single" w:color="000000" w:sz="4" w:space="0"/>
            </w:tcBorders>
            <w:vAlign w:val="center"/>
          </w:tcPr>
          <w:p w14:paraId="2CE6A565">
            <w:pPr>
              <w:pStyle w:val="29"/>
            </w:pPr>
          </w:p>
        </w:tc>
        <w:tc>
          <w:tcPr>
            <w:tcW w:w="958" w:type="dxa"/>
            <w:tcBorders>
              <w:top w:val="single" w:color="000000" w:sz="4" w:space="0"/>
              <w:left w:val="single" w:color="000000" w:sz="4" w:space="0"/>
              <w:bottom w:val="single" w:color="000000" w:sz="4" w:space="0"/>
              <w:right w:val="single" w:color="000000" w:sz="4" w:space="0"/>
            </w:tcBorders>
            <w:vAlign w:val="center"/>
          </w:tcPr>
          <w:p w14:paraId="36356A92">
            <w:pPr>
              <w:pStyle w:val="29"/>
            </w:pPr>
            <w:r>
              <w:t>3.2.3</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4C8A09C6">
            <w:pPr>
              <w:pStyle w:val="30"/>
            </w:pPr>
            <w:r>
              <w:t>比选申请人的得分=A+B+C</w:t>
            </w:r>
            <w:r>
              <w:rPr>
                <w:rFonts w:hint="eastAsia"/>
              </w:rPr>
              <w:t>+D</w:t>
            </w:r>
            <w:r>
              <w:t>。</w:t>
            </w:r>
          </w:p>
        </w:tc>
      </w:tr>
      <w:tr w14:paraId="6D310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1C5C53F4">
            <w:pPr>
              <w:pStyle w:val="29"/>
            </w:pPr>
            <w:r>
              <w:t>3.3</w:t>
            </w:r>
          </w:p>
          <w:p w14:paraId="54F715B7">
            <w:pPr>
              <w:pStyle w:val="29"/>
            </w:pPr>
            <w:r>
              <w:t>比选申请文件的澄清和说明</w:t>
            </w:r>
          </w:p>
        </w:tc>
        <w:tc>
          <w:tcPr>
            <w:tcW w:w="958" w:type="dxa"/>
            <w:tcBorders>
              <w:top w:val="single" w:color="000000" w:sz="4" w:space="0"/>
              <w:left w:val="single" w:color="000000" w:sz="4" w:space="0"/>
              <w:bottom w:val="single" w:color="000000" w:sz="4" w:space="0"/>
              <w:right w:val="single" w:color="000000" w:sz="4" w:space="0"/>
            </w:tcBorders>
            <w:vAlign w:val="center"/>
          </w:tcPr>
          <w:p w14:paraId="47A2D2F9">
            <w:pPr>
              <w:pStyle w:val="29"/>
            </w:pPr>
            <w:r>
              <w:t>3.</w:t>
            </w:r>
            <w:r>
              <w:rPr>
                <w:rFonts w:hint="eastAsia"/>
              </w:rPr>
              <w:t>3</w:t>
            </w:r>
            <w:r>
              <w:t>.1</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508A9F4D">
            <w:pPr>
              <w:pStyle w:val="30"/>
            </w:pPr>
            <w:r>
              <w:t>补充：</w:t>
            </w:r>
          </w:p>
          <w:p w14:paraId="2E8B183F">
            <w:pPr>
              <w:pStyle w:val="30"/>
            </w:pPr>
            <w:r>
              <w:t>（1）比选申请人收到问题澄清通知后必须在规定时间内以书面形式给予澄清，比选申请人的澄清必须加盖比选申请人单位章或由法定代表人或其委托代理人签字；</w:t>
            </w:r>
          </w:p>
          <w:p w14:paraId="4A2E6E47">
            <w:pPr>
              <w:pStyle w:val="30"/>
            </w:pPr>
            <w:r>
              <w:t>（2）若未影响到中选候选人排序，则可不要求比选申请人澄清。若影响到评选排序的应进行澄清，并取得比选申请人的确认。比选申请人不按评选委员会要求澄清或说明的，评选委员会应否决其比选申请。</w:t>
            </w:r>
          </w:p>
        </w:tc>
      </w:tr>
    </w:tbl>
    <w:p w14:paraId="7C9232BD">
      <w:pPr>
        <w:snapToGrid w:val="0"/>
        <w:rPr>
          <w:rStyle w:val="41"/>
        </w:rPr>
      </w:pPr>
      <w:r>
        <w:rPr>
          <w:rStyle w:val="41"/>
        </w:rPr>
        <w:br w:type="page"/>
      </w:r>
    </w:p>
    <w:p w14:paraId="5795331A">
      <w:pPr>
        <w:snapToGrid w:val="0"/>
        <w:rPr>
          <w:rStyle w:val="41"/>
        </w:rPr>
      </w:pPr>
    </w:p>
    <w:p w14:paraId="0C26106E">
      <w:pPr>
        <w:pStyle w:val="6"/>
      </w:pPr>
      <w:r>
        <w:t>第二节 评选办法（正文）</w:t>
      </w:r>
    </w:p>
    <w:p w14:paraId="7C671F91">
      <w:pPr>
        <w:pStyle w:val="52"/>
        <w:snapToGrid w:val="0"/>
        <w:rPr>
          <w:rStyle w:val="41"/>
          <w:rFonts w:ascii="宋体" w:hAnsi="宋体"/>
        </w:rPr>
      </w:pPr>
    </w:p>
    <w:p w14:paraId="0E68E467">
      <w:pPr>
        <w:pStyle w:val="26"/>
        <w:ind w:firstLine="482"/>
        <w:rPr>
          <w:rFonts w:hint="default"/>
          <w:b/>
          <w:bCs/>
        </w:rPr>
      </w:pPr>
      <w:r>
        <w:rPr>
          <w:b/>
          <w:bCs/>
        </w:rPr>
        <w:t xml:space="preserve">1.评选方法 </w:t>
      </w:r>
    </w:p>
    <w:p w14:paraId="49187C22">
      <w:pPr>
        <w:pStyle w:val="26"/>
        <w:ind w:firstLine="482"/>
        <w:rPr>
          <w:rFonts w:hint="default"/>
        </w:rPr>
      </w:pPr>
      <w:r>
        <w:rPr>
          <w:b/>
          <w:bCs/>
        </w:rPr>
        <w:t>1.1</w:t>
      </w:r>
      <w:r>
        <w:t>本次评选采用综合评分法。评选委员会对满足比选文件实质性要求的比选申请文件，按照本章第2.2款规定的评分标准进行打分。</w:t>
      </w:r>
    </w:p>
    <w:p w14:paraId="759FB1D8">
      <w:pPr>
        <w:pStyle w:val="26"/>
        <w:ind w:firstLine="482"/>
        <w:rPr>
          <w:rFonts w:hint="default"/>
          <w:b/>
          <w:bCs/>
        </w:rPr>
      </w:pPr>
      <w:r>
        <w:rPr>
          <w:b/>
          <w:bCs/>
        </w:rPr>
        <w:t>2.评审标准</w:t>
      </w:r>
    </w:p>
    <w:p w14:paraId="3FE0E956">
      <w:pPr>
        <w:pStyle w:val="26"/>
        <w:ind w:firstLine="482"/>
        <w:rPr>
          <w:rFonts w:hint="default"/>
          <w:b/>
          <w:bCs/>
        </w:rPr>
      </w:pPr>
      <w:r>
        <w:rPr>
          <w:b/>
          <w:bCs/>
        </w:rPr>
        <w:t>2.1 初步评审标准</w:t>
      </w:r>
    </w:p>
    <w:p w14:paraId="4659F683">
      <w:pPr>
        <w:pStyle w:val="26"/>
        <w:ind w:firstLine="480"/>
        <w:rPr>
          <w:rFonts w:hint="default"/>
        </w:rPr>
      </w:pPr>
      <w:r>
        <w:t>2.1.1 形式评审标准：见评选办法前附表。</w:t>
      </w:r>
    </w:p>
    <w:p w14:paraId="763BA925">
      <w:pPr>
        <w:pStyle w:val="26"/>
        <w:ind w:firstLine="480"/>
        <w:rPr>
          <w:rFonts w:hint="default"/>
        </w:rPr>
      </w:pPr>
      <w:r>
        <w:t>2.1.2 资格评审标准：见评选办法前附表。</w:t>
      </w:r>
    </w:p>
    <w:p w14:paraId="239DD896">
      <w:pPr>
        <w:pStyle w:val="26"/>
        <w:ind w:firstLine="480"/>
        <w:rPr>
          <w:rFonts w:hint="default"/>
        </w:rPr>
      </w:pPr>
      <w:r>
        <w:t>2.1.3 响应性评审标准：见评选办法前附表。</w:t>
      </w:r>
    </w:p>
    <w:p w14:paraId="3B74D9CA">
      <w:pPr>
        <w:pStyle w:val="26"/>
        <w:ind w:firstLine="482"/>
        <w:rPr>
          <w:rFonts w:hint="default"/>
          <w:b/>
          <w:bCs/>
        </w:rPr>
      </w:pPr>
      <w:r>
        <w:rPr>
          <w:b/>
          <w:bCs/>
        </w:rPr>
        <w:t>2.2 分值构成与评分标准</w:t>
      </w:r>
    </w:p>
    <w:p w14:paraId="57AF2D9B">
      <w:pPr>
        <w:pStyle w:val="26"/>
        <w:ind w:firstLine="480"/>
        <w:rPr>
          <w:rFonts w:hint="default"/>
        </w:rPr>
      </w:pPr>
      <w:r>
        <w:t>（1）技术建议书：见评选办法前附表；</w:t>
      </w:r>
    </w:p>
    <w:p w14:paraId="3DD95851">
      <w:pPr>
        <w:pStyle w:val="26"/>
        <w:ind w:firstLine="480"/>
        <w:rPr>
          <w:rFonts w:hint="default"/>
        </w:rPr>
      </w:pPr>
      <w:r>
        <w:t>（2）主要人员：见评选办法前附表。</w:t>
      </w:r>
    </w:p>
    <w:p w14:paraId="64E8DB85">
      <w:pPr>
        <w:pStyle w:val="26"/>
        <w:ind w:firstLine="480"/>
        <w:rPr>
          <w:rFonts w:hint="default"/>
        </w:rPr>
      </w:pPr>
      <w:r>
        <w:t>（3）业绩：见评选办法前附表；</w:t>
      </w:r>
    </w:p>
    <w:p w14:paraId="6B41E803">
      <w:pPr>
        <w:pStyle w:val="26"/>
        <w:ind w:firstLine="480"/>
        <w:rPr>
          <w:rFonts w:hint="default"/>
        </w:rPr>
      </w:pPr>
      <w:r>
        <w:t>（4）评选价：见评选办法前附表；</w:t>
      </w:r>
    </w:p>
    <w:p w14:paraId="7B7666DF">
      <w:pPr>
        <w:pStyle w:val="26"/>
        <w:ind w:firstLine="480"/>
        <w:rPr>
          <w:rFonts w:hint="default"/>
        </w:rPr>
      </w:pPr>
      <w:r>
        <w:t>2.2.2  评选基准价计算</w:t>
      </w:r>
    </w:p>
    <w:p w14:paraId="16428352">
      <w:pPr>
        <w:pStyle w:val="26"/>
        <w:ind w:firstLine="480"/>
        <w:rPr>
          <w:rFonts w:hint="default"/>
        </w:rPr>
      </w:pPr>
      <w:r>
        <w:t>评选基准价计算方法：见评选办法前附表。</w:t>
      </w:r>
    </w:p>
    <w:p w14:paraId="50EB9B18">
      <w:pPr>
        <w:pStyle w:val="26"/>
        <w:ind w:firstLine="480"/>
        <w:rPr>
          <w:rFonts w:hint="default"/>
        </w:rPr>
      </w:pPr>
      <w:r>
        <w:t>2.2.3评选价的偏差率计算</w:t>
      </w:r>
    </w:p>
    <w:p w14:paraId="158B10BE">
      <w:pPr>
        <w:pStyle w:val="26"/>
        <w:ind w:firstLine="480"/>
        <w:rPr>
          <w:rFonts w:hint="default"/>
        </w:rPr>
      </w:pPr>
      <w:r>
        <w:t>评选价的偏差率计算公式：见评选办法前附表。</w:t>
      </w:r>
    </w:p>
    <w:p w14:paraId="36BD62AE">
      <w:pPr>
        <w:pStyle w:val="26"/>
        <w:ind w:firstLine="480"/>
        <w:rPr>
          <w:rFonts w:hint="default"/>
        </w:rPr>
      </w:pPr>
      <w:r>
        <w:t>2.2.4评分标准</w:t>
      </w:r>
    </w:p>
    <w:p w14:paraId="2940BB0B">
      <w:pPr>
        <w:pStyle w:val="26"/>
        <w:ind w:firstLine="480"/>
        <w:rPr>
          <w:rFonts w:hint="default"/>
        </w:rPr>
      </w:pPr>
      <w:r>
        <w:t>（1）技术建议书评分标准：见评选办法前附表；</w:t>
      </w:r>
    </w:p>
    <w:p w14:paraId="07178AD8">
      <w:pPr>
        <w:pStyle w:val="26"/>
        <w:ind w:firstLine="480"/>
        <w:rPr>
          <w:rFonts w:hint="default"/>
        </w:rPr>
      </w:pPr>
      <w:r>
        <w:t>（2）主要人员：见评选办法前附表。</w:t>
      </w:r>
    </w:p>
    <w:p w14:paraId="01DA59BB">
      <w:pPr>
        <w:pStyle w:val="26"/>
        <w:ind w:firstLine="480"/>
        <w:rPr>
          <w:rFonts w:hint="default"/>
        </w:rPr>
      </w:pPr>
      <w:r>
        <w:t>（3）业绩：见评选办法前附表；</w:t>
      </w:r>
    </w:p>
    <w:p w14:paraId="6857B352">
      <w:pPr>
        <w:pStyle w:val="26"/>
        <w:ind w:firstLine="480"/>
        <w:rPr>
          <w:rFonts w:hint="default"/>
        </w:rPr>
      </w:pPr>
      <w:r>
        <w:t>（4）评选价评分标准：见评选办法前附表。</w:t>
      </w:r>
    </w:p>
    <w:p w14:paraId="62DABA6E">
      <w:pPr>
        <w:pStyle w:val="26"/>
        <w:ind w:firstLine="482"/>
        <w:rPr>
          <w:rFonts w:hint="default"/>
          <w:b/>
          <w:bCs/>
        </w:rPr>
      </w:pPr>
      <w:r>
        <w:rPr>
          <w:b/>
          <w:bCs/>
        </w:rPr>
        <w:t>3.评选程序</w:t>
      </w:r>
    </w:p>
    <w:p w14:paraId="3592F7EA">
      <w:pPr>
        <w:pStyle w:val="26"/>
        <w:ind w:firstLine="482"/>
        <w:rPr>
          <w:rFonts w:hint="default"/>
          <w:b/>
          <w:bCs/>
        </w:rPr>
      </w:pPr>
      <w:r>
        <w:rPr>
          <w:b/>
          <w:bCs/>
        </w:rPr>
        <w:t>3.1 初步评审</w:t>
      </w:r>
    </w:p>
    <w:p w14:paraId="5B309B47">
      <w:pPr>
        <w:pStyle w:val="26"/>
        <w:ind w:firstLine="480"/>
        <w:rPr>
          <w:rFonts w:hint="default"/>
        </w:rPr>
      </w:pPr>
      <w:r>
        <w:t>3.1.1评选委员会依据本章第 2.1 款规定的标准对比选申请文件进行初步评审。有一项不符合评审标准的，评选委员会应否决其比选申请。</w:t>
      </w:r>
    </w:p>
    <w:p w14:paraId="2900DCBA">
      <w:pPr>
        <w:pStyle w:val="26"/>
        <w:ind w:firstLine="482"/>
        <w:rPr>
          <w:rFonts w:hint="default"/>
          <w:b/>
          <w:bCs/>
        </w:rPr>
      </w:pPr>
      <w:r>
        <w:rPr>
          <w:b/>
          <w:bCs/>
        </w:rPr>
        <w:t>3.2 详细评审</w:t>
      </w:r>
    </w:p>
    <w:p w14:paraId="4CB50327">
      <w:pPr>
        <w:pStyle w:val="26"/>
        <w:ind w:firstLine="480"/>
        <w:rPr>
          <w:rFonts w:hint="default"/>
        </w:rPr>
      </w:pPr>
      <w:r>
        <w:t>3.2.1 评选委员会按本章第 2.2.1、2.2.2款规定的量化因素和分值进行打分，并计算出各比选申请人的得分。</w:t>
      </w:r>
    </w:p>
    <w:p w14:paraId="7E59E581">
      <w:pPr>
        <w:pStyle w:val="26"/>
        <w:ind w:firstLine="480"/>
        <w:rPr>
          <w:rFonts w:hint="default"/>
        </w:rPr>
      </w:pPr>
      <w:r>
        <w:t>（1）按本章第2.2.4（1）项规定的评审因素和分值对技术建议书部分计算出得分A；</w:t>
      </w:r>
    </w:p>
    <w:p w14:paraId="6C457ED7">
      <w:pPr>
        <w:pStyle w:val="26"/>
        <w:ind w:firstLine="480"/>
        <w:rPr>
          <w:rFonts w:hint="default"/>
        </w:rPr>
      </w:pPr>
      <w:r>
        <w:t>（2）按本章第2.2.4（2）项规定的评审因素和分值对主要人员部分计算出得分B；</w:t>
      </w:r>
    </w:p>
    <w:p w14:paraId="14493258">
      <w:pPr>
        <w:pStyle w:val="26"/>
        <w:ind w:firstLine="480"/>
        <w:rPr>
          <w:rFonts w:hint="default"/>
        </w:rPr>
      </w:pPr>
      <w:r>
        <w:t>（3）按本章第2.2.4（3）项规定的评审因素和分值对业绩部分计算出得分C。</w:t>
      </w:r>
    </w:p>
    <w:p w14:paraId="6BA16B87">
      <w:pPr>
        <w:pStyle w:val="26"/>
        <w:ind w:firstLine="480"/>
        <w:rPr>
          <w:rFonts w:hint="default"/>
        </w:rPr>
      </w:pPr>
      <w:r>
        <w:t>（4）按本章第2.2.4（3）项规定的评审因素和分值对评选价部分计算出得分D。</w:t>
      </w:r>
    </w:p>
    <w:p w14:paraId="2A1F8310">
      <w:pPr>
        <w:pStyle w:val="26"/>
        <w:ind w:firstLine="480"/>
        <w:rPr>
          <w:rFonts w:hint="default"/>
        </w:rPr>
      </w:pPr>
      <w:r>
        <w:t>3.2.2 比选申请人的得分分值计算保留小数点后两位，小数点后第三位“四舍五入”。</w:t>
      </w:r>
    </w:p>
    <w:p w14:paraId="3169C23C">
      <w:pPr>
        <w:pStyle w:val="26"/>
        <w:ind w:firstLine="480"/>
        <w:rPr>
          <w:rFonts w:hint="default"/>
        </w:rPr>
      </w:pPr>
      <w:r>
        <w:t>3.2.3 比选申请人的得分=A+B+C+D。</w:t>
      </w:r>
    </w:p>
    <w:p w14:paraId="777B06CB">
      <w:pPr>
        <w:pStyle w:val="26"/>
        <w:ind w:firstLine="482"/>
        <w:rPr>
          <w:rFonts w:hint="default"/>
          <w:b/>
          <w:bCs/>
        </w:rPr>
      </w:pPr>
      <w:r>
        <w:rPr>
          <w:b/>
          <w:bCs/>
        </w:rPr>
        <w:t>3.3 比选申请文件相关信息的核查</w:t>
      </w:r>
    </w:p>
    <w:p w14:paraId="327C62D8">
      <w:pPr>
        <w:pStyle w:val="26"/>
        <w:ind w:firstLine="480"/>
        <w:rPr>
          <w:rFonts w:hint="default"/>
        </w:rPr>
      </w:pPr>
      <w:r>
        <w:t xml:space="preserve">3.3.1 在评选过程中，评选委员会对比选申请人的资质、业绩和信用等级等信息进行核实。若比选申请文件载明的信息与实际信息不符，使得比选申请人的资格条件不符合比选文件规定的，评选委员会应否决其比选申请。 </w:t>
      </w:r>
    </w:p>
    <w:p w14:paraId="249BF56B">
      <w:pPr>
        <w:pStyle w:val="26"/>
        <w:ind w:firstLine="480"/>
        <w:rPr>
          <w:rFonts w:hint="default"/>
        </w:rPr>
      </w:pPr>
      <w:r>
        <w:t xml:space="preserve">3.3.2 评选委员会应对在评选过程中发现的比选申请人与比选申请人之间、比选申请人与比选人之间存在的串通比选申请的情形进行评审和认定。比选申请人存在串通比选申请、弄虚作假、行贿等违法行为的，评选委员会应否决其比选申请。 </w:t>
      </w:r>
    </w:p>
    <w:p w14:paraId="74F6FC65">
      <w:pPr>
        <w:pStyle w:val="26"/>
        <w:ind w:firstLine="480"/>
        <w:rPr>
          <w:rFonts w:hint="default"/>
        </w:rPr>
      </w:pPr>
      <w:r>
        <w:t>（1）有下列情形之一的，属于比选申请人相互串通比选申请：</w:t>
      </w:r>
    </w:p>
    <w:p w14:paraId="7335E3F8">
      <w:pPr>
        <w:pStyle w:val="26"/>
        <w:ind w:firstLine="480"/>
        <w:rPr>
          <w:rFonts w:hint="default"/>
        </w:rPr>
      </w:pPr>
      <w:r>
        <w:t xml:space="preserve">a.比选申请人之间协商比选申请报价等比选申请文件的实质性内容； </w:t>
      </w:r>
    </w:p>
    <w:p w14:paraId="70FDA78C">
      <w:pPr>
        <w:pStyle w:val="26"/>
        <w:ind w:firstLine="480"/>
        <w:rPr>
          <w:rFonts w:hint="default"/>
        </w:rPr>
      </w:pPr>
      <w:r>
        <w:t xml:space="preserve">b.比选申请人之间约定中选人； </w:t>
      </w:r>
    </w:p>
    <w:p w14:paraId="72FB8C48">
      <w:pPr>
        <w:pStyle w:val="26"/>
        <w:ind w:firstLine="480"/>
        <w:rPr>
          <w:rFonts w:hint="default"/>
        </w:rPr>
      </w:pPr>
      <w:r>
        <w:t xml:space="preserve">c.比选申请人之间约定部分比选申请人放弃比选申请或中选； </w:t>
      </w:r>
    </w:p>
    <w:p w14:paraId="76827378">
      <w:pPr>
        <w:pStyle w:val="26"/>
        <w:ind w:firstLine="480"/>
        <w:rPr>
          <w:rFonts w:hint="default"/>
        </w:rPr>
      </w:pPr>
      <w:r>
        <w:t xml:space="preserve">d.比选申请人之间为谋取中选或排斥特定比选申请人而采取的其他联合行动。 </w:t>
      </w:r>
    </w:p>
    <w:p w14:paraId="453A8487">
      <w:pPr>
        <w:pStyle w:val="26"/>
        <w:ind w:firstLine="480"/>
        <w:rPr>
          <w:rFonts w:hint="default"/>
        </w:rPr>
      </w:pPr>
      <w:r>
        <w:t>（2）有下列情形之一的，视为比选申请人相互串通比选申请：</w:t>
      </w:r>
    </w:p>
    <w:p w14:paraId="18E5529B">
      <w:pPr>
        <w:pStyle w:val="26"/>
        <w:ind w:firstLine="480"/>
        <w:rPr>
          <w:rFonts w:hint="default"/>
        </w:rPr>
      </w:pPr>
      <w:r>
        <w:t xml:space="preserve"> a.不同比选申请人的比选申请文件由同一单位或个人编制；</w:t>
      </w:r>
    </w:p>
    <w:p w14:paraId="280F5950">
      <w:pPr>
        <w:pStyle w:val="26"/>
        <w:ind w:firstLine="480"/>
        <w:rPr>
          <w:rFonts w:hint="default"/>
        </w:rPr>
      </w:pPr>
      <w:r>
        <w:t xml:space="preserve"> b.不同比选申请人委托同一单位或个人办理比选申请事宜；</w:t>
      </w:r>
    </w:p>
    <w:p w14:paraId="54695490">
      <w:pPr>
        <w:pStyle w:val="26"/>
        <w:ind w:firstLine="480"/>
        <w:rPr>
          <w:rFonts w:hint="default"/>
        </w:rPr>
      </w:pPr>
      <w:r>
        <w:t xml:space="preserve"> c.不同比选申请人的比选申请文件异常一致或比选申请报价呈规律性差异；</w:t>
      </w:r>
    </w:p>
    <w:p w14:paraId="6AF650C4">
      <w:pPr>
        <w:pStyle w:val="26"/>
        <w:ind w:firstLine="480"/>
        <w:rPr>
          <w:rFonts w:hint="default"/>
        </w:rPr>
      </w:pPr>
      <w:r>
        <w:t xml:space="preserve"> d.不同比选申请人的比选申请文件相互混装； </w:t>
      </w:r>
    </w:p>
    <w:p w14:paraId="7CF74021">
      <w:pPr>
        <w:pStyle w:val="26"/>
        <w:ind w:firstLine="480"/>
        <w:rPr>
          <w:rFonts w:hint="default"/>
        </w:rPr>
      </w:pPr>
      <w:r>
        <w:t xml:space="preserve">e.不同比选申请人的比选申请保证金从同一单位或个人的账户转出。 </w:t>
      </w:r>
    </w:p>
    <w:p w14:paraId="11966D8A">
      <w:pPr>
        <w:pStyle w:val="26"/>
        <w:ind w:firstLine="480"/>
        <w:rPr>
          <w:rFonts w:hint="default"/>
        </w:rPr>
      </w:pPr>
      <w:r>
        <w:t xml:space="preserve">（3）有下列情形之一的，属于比选人与比选申请人串通比选申请： </w:t>
      </w:r>
    </w:p>
    <w:p w14:paraId="0AF585AC">
      <w:pPr>
        <w:pStyle w:val="26"/>
        <w:ind w:firstLine="480"/>
        <w:rPr>
          <w:rFonts w:hint="default"/>
        </w:rPr>
      </w:pPr>
      <w:r>
        <w:t xml:space="preserve">a.比选人在开标前开启比选申请文件并将有关信息泄露给其他比选申请人; </w:t>
      </w:r>
    </w:p>
    <w:p w14:paraId="14EB600F">
      <w:pPr>
        <w:pStyle w:val="26"/>
        <w:ind w:firstLine="480"/>
        <w:rPr>
          <w:rFonts w:hint="default"/>
        </w:rPr>
      </w:pPr>
      <w:r>
        <w:t>b.比选人直接或间接向比选申请人泄露标底、评选委员会成员等信息；</w:t>
      </w:r>
    </w:p>
    <w:p w14:paraId="616300D7">
      <w:pPr>
        <w:pStyle w:val="26"/>
        <w:ind w:firstLine="480"/>
        <w:rPr>
          <w:rFonts w:hint="default"/>
        </w:rPr>
      </w:pPr>
      <w:r>
        <w:t>c.比选人明示或暗示比选申请人压低或抬高比选申请报价；</w:t>
      </w:r>
    </w:p>
    <w:p w14:paraId="48C23852">
      <w:pPr>
        <w:pStyle w:val="26"/>
        <w:ind w:firstLine="480"/>
        <w:rPr>
          <w:rFonts w:hint="default"/>
        </w:rPr>
      </w:pPr>
      <w:r>
        <w:t xml:space="preserve">d.比选人授意比选申请人撤换、修改比选申请文件； </w:t>
      </w:r>
    </w:p>
    <w:p w14:paraId="753AD3D2">
      <w:pPr>
        <w:pStyle w:val="26"/>
        <w:ind w:firstLine="480"/>
        <w:rPr>
          <w:rFonts w:hint="default"/>
        </w:rPr>
      </w:pPr>
      <w:r>
        <w:t>e.比选人明示或暗示比选申请人为特定比选申请人中选提供方便；</w:t>
      </w:r>
    </w:p>
    <w:p w14:paraId="1A132661">
      <w:pPr>
        <w:pStyle w:val="26"/>
        <w:ind w:firstLine="480"/>
        <w:rPr>
          <w:rFonts w:hint="default"/>
        </w:rPr>
      </w:pPr>
      <w:r>
        <w:t xml:space="preserve">f.比选人与比选申请人为谋求特定比选申请人中选而采取的其他串通行为。 </w:t>
      </w:r>
    </w:p>
    <w:p w14:paraId="2A1ED449">
      <w:pPr>
        <w:pStyle w:val="26"/>
        <w:ind w:firstLine="480"/>
        <w:rPr>
          <w:rFonts w:hint="default"/>
        </w:rPr>
      </w:pPr>
      <w:r>
        <w:t xml:space="preserve">（4）比选申请人有下列情形之一的，属于弄虚作假的行为： </w:t>
      </w:r>
    </w:p>
    <w:p w14:paraId="65BEDDCB">
      <w:pPr>
        <w:pStyle w:val="26"/>
        <w:ind w:firstLine="480"/>
        <w:rPr>
          <w:rFonts w:hint="default"/>
        </w:rPr>
      </w:pPr>
      <w:r>
        <w:t>a.使用通过受让或租借等方式获取的资格、资质证书比选申请；</w:t>
      </w:r>
    </w:p>
    <w:p w14:paraId="487C8F08">
      <w:pPr>
        <w:pStyle w:val="26"/>
        <w:ind w:firstLine="480"/>
        <w:rPr>
          <w:rFonts w:hint="default"/>
        </w:rPr>
      </w:pPr>
      <w:r>
        <w:t xml:space="preserve">  b.使用伪造、变造的许可证件；</w:t>
      </w:r>
    </w:p>
    <w:p w14:paraId="771927E9">
      <w:pPr>
        <w:pStyle w:val="26"/>
        <w:ind w:firstLine="480"/>
        <w:rPr>
          <w:rFonts w:hint="default"/>
        </w:rPr>
      </w:pPr>
      <w:r>
        <w:t xml:space="preserve">  c.提供虚假的业绩；</w:t>
      </w:r>
    </w:p>
    <w:p w14:paraId="747E5812">
      <w:pPr>
        <w:pStyle w:val="26"/>
        <w:ind w:firstLine="480"/>
        <w:rPr>
          <w:rFonts w:hint="default"/>
        </w:rPr>
      </w:pPr>
      <w:r>
        <w:t xml:space="preserve">d.提供虚假的信用状况； </w:t>
      </w:r>
    </w:p>
    <w:p w14:paraId="1C074DEB">
      <w:pPr>
        <w:pStyle w:val="26"/>
        <w:ind w:firstLine="480"/>
        <w:rPr>
          <w:rFonts w:hint="default"/>
        </w:rPr>
      </w:pPr>
      <w:r>
        <w:t>e.其他弄虚作假的行为。</w:t>
      </w:r>
    </w:p>
    <w:p w14:paraId="71CE69BD">
      <w:pPr>
        <w:pStyle w:val="26"/>
        <w:ind w:firstLine="482"/>
        <w:rPr>
          <w:rFonts w:hint="default"/>
          <w:b/>
          <w:bCs/>
        </w:rPr>
      </w:pPr>
      <w:r>
        <w:rPr>
          <w:b/>
          <w:bCs/>
        </w:rPr>
        <w:t>3.4 比选申请文件的澄清和说明</w:t>
      </w:r>
    </w:p>
    <w:p w14:paraId="77F5CE06">
      <w:pPr>
        <w:pStyle w:val="26"/>
        <w:ind w:firstLine="480"/>
        <w:rPr>
          <w:rFonts w:hint="default"/>
        </w:rPr>
      </w:pPr>
      <w:r>
        <w:t xml:space="preserve">3.4.1 在评选过程中，评选委员会可以书面形式要求比选申请人对比选申请文件中含义不明确的内容、明显文字或计算错误进行书面澄清或说明。评选委员会不接受比选申请人主动提出的澄清、说明。比选申请人不按评选委员会要求澄清或说明的，评选委员会应否决其比选申请。 </w:t>
      </w:r>
    </w:p>
    <w:p w14:paraId="5CED6518">
      <w:pPr>
        <w:pStyle w:val="26"/>
        <w:ind w:firstLine="480"/>
        <w:rPr>
          <w:rFonts w:hint="default"/>
        </w:rPr>
      </w:pPr>
      <w:r>
        <w:t>3.4.2 澄清和说明不得超出比选申请文件的范围或改变比选申请文件的实质性内容（算术性错误的修正除外）。比选申请人的书面澄清、说明属于比选申请文件的组成部分。</w:t>
      </w:r>
    </w:p>
    <w:p w14:paraId="71660607">
      <w:pPr>
        <w:pStyle w:val="26"/>
        <w:ind w:firstLine="480"/>
        <w:rPr>
          <w:rFonts w:hint="default"/>
        </w:rPr>
      </w:pPr>
      <w:r>
        <w:t>3.4.3 评选委员会不得暗示或诱导比选申请人作出澄清、说明，对比选申请人提交的澄清、 说明有疑问的，可以要求比选申请人进一步澄清或说明，直至满足评选委员会的要求。</w:t>
      </w:r>
    </w:p>
    <w:p w14:paraId="21D7F2D2">
      <w:pPr>
        <w:pStyle w:val="26"/>
        <w:ind w:firstLine="480"/>
        <w:rPr>
          <w:rFonts w:hint="default"/>
        </w:rPr>
      </w:pPr>
      <w:r>
        <w:t>3.4.4 凡超出比选文件规定的或给发包人带来未曾要求的利益的变化、偏差或其他因素在评选时不予考虑。</w:t>
      </w:r>
    </w:p>
    <w:p w14:paraId="4A63330D">
      <w:pPr>
        <w:pStyle w:val="26"/>
        <w:ind w:firstLine="482"/>
        <w:rPr>
          <w:rFonts w:hint="default"/>
          <w:b/>
          <w:bCs/>
        </w:rPr>
      </w:pPr>
      <w:r>
        <w:rPr>
          <w:b/>
          <w:bCs/>
        </w:rPr>
        <w:t>3.5 评选结果</w:t>
      </w:r>
    </w:p>
    <w:p w14:paraId="79B851BE">
      <w:pPr>
        <w:pStyle w:val="26"/>
        <w:ind w:firstLine="480"/>
        <w:rPr>
          <w:rFonts w:hint="default"/>
        </w:rPr>
      </w:pPr>
      <w:r>
        <w:t>3.5.1 评选委员会按照评选办法前附表第1项规定推荐中选候选人。</w:t>
      </w:r>
    </w:p>
    <w:p w14:paraId="0AA3DD7D">
      <w:pPr>
        <w:pStyle w:val="26"/>
        <w:ind w:firstLine="480"/>
        <w:rPr>
          <w:rFonts w:hint="default"/>
        </w:rPr>
      </w:pPr>
      <w:r>
        <w:t>3.5.2 评选委员会完成评选后，应向比选人提交书面评选报告。</w:t>
      </w:r>
    </w:p>
    <w:p w14:paraId="7FE8DD4D">
      <w:pPr>
        <w:snapToGrid w:val="0"/>
        <w:spacing w:line="360" w:lineRule="auto"/>
        <w:ind w:right="36"/>
        <w:jc w:val="center"/>
        <w:rPr>
          <w:rStyle w:val="41"/>
          <w:rFonts w:ascii="宋体"/>
        </w:rPr>
      </w:pPr>
      <w:r>
        <w:rPr>
          <w:rStyle w:val="41"/>
          <w:rFonts w:ascii="宋体"/>
        </w:rPr>
        <w:br w:type="page"/>
      </w:r>
    </w:p>
    <w:p w14:paraId="1DD8B029">
      <w:pPr>
        <w:snapToGrid w:val="0"/>
        <w:spacing w:line="360" w:lineRule="auto"/>
        <w:ind w:right="36"/>
        <w:jc w:val="center"/>
        <w:rPr>
          <w:rStyle w:val="41"/>
          <w:rFonts w:ascii="宋体"/>
        </w:rPr>
      </w:pPr>
    </w:p>
    <w:p w14:paraId="522F99BB">
      <w:pPr>
        <w:snapToGrid w:val="0"/>
        <w:spacing w:line="200" w:lineRule="exact"/>
        <w:rPr>
          <w:rStyle w:val="41"/>
          <w:rFonts w:ascii="宋体"/>
          <w:sz w:val="20"/>
        </w:rPr>
      </w:pPr>
    </w:p>
    <w:p w14:paraId="0C58E636">
      <w:pPr>
        <w:snapToGrid w:val="0"/>
        <w:spacing w:line="200" w:lineRule="exact"/>
        <w:rPr>
          <w:rStyle w:val="41"/>
          <w:rFonts w:ascii="宋体"/>
          <w:sz w:val="20"/>
        </w:rPr>
      </w:pPr>
    </w:p>
    <w:p w14:paraId="6AF6A51E">
      <w:pPr>
        <w:snapToGrid w:val="0"/>
        <w:spacing w:line="200" w:lineRule="exact"/>
        <w:rPr>
          <w:rStyle w:val="41"/>
          <w:rFonts w:ascii="宋体"/>
          <w:sz w:val="20"/>
        </w:rPr>
      </w:pPr>
    </w:p>
    <w:p w14:paraId="6DACBBC9">
      <w:pPr>
        <w:snapToGrid w:val="0"/>
        <w:spacing w:line="200" w:lineRule="exact"/>
        <w:rPr>
          <w:rStyle w:val="41"/>
          <w:rFonts w:ascii="宋体"/>
          <w:sz w:val="20"/>
        </w:rPr>
      </w:pPr>
    </w:p>
    <w:p w14:paraId="3A56EE38">
      <w:pPr>
        <w:snapToGrid w:val="0"/>
        <w:spacing w:line="200" w:lineRule="exact"/>
        <w:rPr>
          <w:rStyle w:val="41"/>
          <w:rFonts w:ascii="宋体"/>
          <w:sz w:val="20"/>
        </w:rPr>
      </w:pPr>
    </w:p>
    <w:p w14:paraId="5F87B135">
      <w:pPr>
        <w:snapToGrid w:val="0"/>
        <w:spacing w:line="200" w:lineRule="exact"/>
        <w:rPr>
          <w:rStyle w:val="41"/>
          <w:rFonts w:ascii="宋体"/>
          <w:sz w:val="20"/>
        </w:rPr>
      </w:pPr>
    </w:p>
    <w:p w14:paraId="3FD44D51">
      <w:pPr>
        <w:snapToGrid w:val="0"/>
        <w:spacing w:line="200" w:lineRule="exact"/>
        <w:rPr>
          <w:rStyle w:val="41"/>
          <w:rFonts w:ascii="宋体"/>
          <w:sz w:val="20"/>
        </w:rPr>
      </w:pPr>
    </w:p>
    <w:p w14:paraId="3B017497">
      <w:pPr>
        <w:snapToGrid w:val="0"/>
        <w:spacing w:line="200" w:lineRule="exact"/>
        <w:rPr>
          <w:rStyle w:val="41"/>
          <w:rFonts w:ascii="宋体"/>
          <w:sz w:val="20"/>
        </w:rPr>
      </w:pPr>
    </w:p>
    <w:p w14:paraId="332B2158">
      <w:pPr>
        <w:snapToGrid w:val="0"/>
        <w:spacing w:line="200" w:lineRule="exact"/>
        <w:rPr>
          <w:rStyle w:val="41"/>
          <w:rFonts w:ascii="宋体"/>
          <w:sz w:val="20"/>
        </w:rPr>
      </w:pPr>
    </w:p>
    <w:p w14:paraId="5495FD9C">
      <w:pPr>
        <w:snapToGrid w:val="0"/>
        <w:spacing w:line="200" w:lineRule="exact"/>
        <w:rPr>
          <w:rStyle w:val="41"/>
          <w:rFonts w:ascii="宋体"/>
          <w:sz w:val="20"/>
        </w:rPr>
      </w:pPr>
    </w:p>
    <w:p w14:paraId="05F4EB5C">
      <w:pPr>
        <w:snapToGrid w:val="0"/>
        <w:spacing w:line="200" w:lineRule="exact"/>
        <w:rPr>
          <w:rStyle w:val="41"/>
          <w:rFonts w:ascii="宋体"/>
          <w:sz w:val="20"/>
        </w:rPr>
      </w:pPr>
    </w:p>
    <w:p w14:paraId="3AC7013E">
      <w:pPr>
        <w:snapToGrid w:val="0"/>
        <w:spacing w:line="200" w:lineRule="exact"/>
        <w:rPr>
          <w:rStyle w:val="41"/>
          <w:rFonts w:ascii="宋体"/>
          <w:sz w:val="20"/>
        </w:rPr>
      </w:pPr>
    </w:p>
    <w:p w14:paraId="6ECF489D">
      <w:pPr>
        <w:snapToGrid w:val="0"/>
        <w:spacing w:line="200" w:lineRule="exact"/>
        <w:rPr>
          <w:rStyle w:val="41"/>
          <w:rFonts w:ascii="宋体"/>
          <w:sz w:val="20"/>
        </w:rPr>
      </w:pPr>
    </w:p>
    <w:p w14:paraId="1DAC863D">
      <w:pPr>
        <w:snapToGrid w:val="0"/>
        <w:spacing w:line="200" w:lineRule="exact"/>
        <w:rPr>
          <w:rStyle w:val="41"/>
          <w:rFonts w:ascii="宋体"/>
          <w:sz w:val="20"/>
        </w:rPr>
      </w:pPr>
    </w:p>
    <w:p w14:paraId="400E91D9">
      <w:pPr>
        <w:snapToGrid w:val="0"/>
        <w:spacing w:line="200" w:lineRule="exact"/>
        <w:rPr>
          <w:rStyle w:val="41"/>
          <w:rFonts w:ascii="宋体"/>
          <w:sz w:val="20"/>
        </w:rPr>
      </w:pPr>
    </w:p>
    <w:p w14:paraId="70DC8C0B">
      <w:pPr>
        <w:snapToGrid w:val="0"/>
        <w:spacing w:line="200" w:lineRule="exact"/>
        <w:rPr>
          <w:rStyle w:val="41"/>
          <w:rFonts w:ascii="宋体"/>
          <w:sz w:val="20"/>
        </w:rPr>
      </w:pPr>
    </w:p>
    <w:p w14:paraId="19BFE6E9">
      <w:pPr>
        <w:snapToGrid w:val="0"/>
        <w:spacing w:line="200" w:lineRule="exact"/>
        <w:rPr>
          <w:rStyle w:val="41"/>
          <w:rFonts w:ascii="宋体"/>
          <w:sz w:val="20"/>
        </w:rPr>
      </w:pPr>
    </w:p>
    <w:p w14:paraId="16D86886">
      <w:pPr>
        <w:snapToGrid w:val="0"/>
        <w:spacing w:before="8" w:line="240" w:lineRule="exact"/>
        <w:rPr>
          <w:rStyle w:val="41"/>
          <w:rFonts w:ascii="宋体"/>
        </w:rPr>
      </w:pPr>
    </w:p>
    <w:p w14:paraId="23113D3E">
      <w:pPr>
        <w:pStyle w:val="5"/>
      </w:pPr>
      <w:bookmarkStart w:id="20" w:name="_Toc4142_WPSOffice_Level1"/>
      <w:r>
        <w:t>第四章 合同主要条款及格式</w:t>
      </w:r>
      <w:bookmarkEnd w:id="20"/>
    </w:p>
    <w:p w14:paraId="4E71F9F4">
      <w:pPr>
        <w:pStyle w:val="5"/>
        <w:sectPr>
          <w:footerReference r:id="rId13" w:type="default"/>
          <w:pgSz w:w="11906" w:h="16840"/>
          <w:pgMar w:top="1060" w:right="1020" w:bottom="1040" w:left="1360" w:header="878" w:footer="855" w:gutter="0"/>
          <w:cols w:space="425" w:num="1"/>
        </w:sectPr>
      </w:pPr>
    </w:p>
    <w:p w14:paraId="2673FF94">
      <w:pPr>
        <w:pStyle w:val="6"/>
      </w:pPr>
      <w:r>
        <w:rPr>
          <w:rFonts w:hint="eastAsia"/>
        </w:rPr>
        <w:t>第一节  通用合同条款</w:t>
      </w:r>
    </w:p>
    <w:p w14:paraId="2066F139">
      <w:pPr>
        <w:pStyle w:val="6"/>
      </w:pPr>
      <w:r>
        <w:rPr>
          <w:rFonts w:hint="eastAsia"/>
        </w:rPr>
        <w:t xml:space="preserve"> </w:t>
      </w:r>
    </w:p>
    <w:p w14:paraId="539F6EE3">
      <w:pPr>
        <w:pStyle w:val="6"/>
      </w:pPr>
      <w:r>
        <w:rPr>
          <w:rFonts w:hint="eastAsia"/>
        </w:rPr>
        <w:t xml:space="preserve"> </w:t>
      </w:r>
    </w:p>
    <w:p w14:paraId="0BE4BB43">
      <w:pPr>
        <w:pStyle w:val="6"/>
      </w:pPr>
      <w:r>
        <w:rPr>
          <w:rFonts w:hint="eastAsia"/>
        </w:rPr>
        <w:t>详见中华人民共和国《标准监理招标文件》（2017年版）</w:t>
      </w:r>
    </w:p>
    <w:p w14:paraId="5D1B7AEA">
      <w:pPr>
        <w:pStyle w:val="6"/>
        <w:sectPr>
          <w:footerReference r:id="rId14" w:type="default"/>
          <w:pgSz w:w="11906" w:h="16839"/>
          <w:pgMar w:top="1431" w:right="1785" w:bottom="1362" w:left="1785" w:header="0" w:footer="1202" w:gutter="0"/>
          <w:cols w:space="720" w:num="1"/>
        </w:sectPr>
      </w:pPr>
    </w:p>
    <w:p w14:paraId="708F86AC">
      <w:pPr>
        <w:pStyle w:val="6"/>
      </w:pPr>
      <w:r>
        <w:rPr>
          <w:rFonts w:hint="eastAsia"/>
        </w:rPr>
        <w:t>第二节  专用合同条款</w:t>
      </w:r>
    </w:p>
    <w:p w14:paraId="437C83E1">
      <w:pPr>
        <w:pStyle w:val="6"/>
      </w:pPr>
    </w:p>
    <w:p w14:paraId="0C2103B9">
      <w:pPr>
        <w:pStyle w:val="6"/>
      </w:pPr>
      <w:r>
        <w:rPr>
          <w:rFonts w:hint="eastAsia"/>
        </w:rPr>
        <w:t>A.公路工程专用合同条款</w:t>
      </w:r>
    </w:p>
    <w:p w14:paraId="000310BA">
      <w:pPr>
        <w:pStyle w:val="6"/>
      </w:pPr>
      <w:r>
        <w:rPr>
          <w:rFonts w:hint="eastAsia"/>
        </w:rPr>
        <w:t xml:space="preserve"> </w:t>
      </w:r>
    </w:p>
    <w:p w14:paraId="54B93490">
      <w:pPr>
        <w:pStyle w:val="6"/>
      </w:pPr>
      <w:r>
        <w:rPr>
          <w:rFonts w:hint="eastAsia"/>
        </w:rPr>
        <w:t>详见中华人民共和国交通运输部《公路工程标准施工监理招标文件》（2018年版）</w:t>
      </w:r>
    </w:p>
    <w:p w14:paraId="6C9957F0">
      <w:pPr>
        <w:pStyle w:val="6"/>
        <w:sectPr>
          <w:pgSz w:w="11906" w:h="16839"/>
          <w:pgMar w:top="1431" w:right="1785" w:bottom="1362" w:left="1785" w:header="0" w:footer="1202" w:gutter="0"/>
          <w:cols w:space="720" w:num="1"/>
        </w:sectPr>
      </w:pPr>
    </w:p>
    <w:p w14:paraId="365ED33D">
      <w:pPr>
        <w:pStyle w:val="6"/>
      </w:pPr>
      <w:r>
        <w:rPr>
          <w:rFonts w:hint="eastAsia"/>
        </w:rPr>
        <w:t>B.项目专用合同条款（XQSY标段）</w:t>
      </w:r>
    </w:p>
    <w:p w14:paraId="4519C2CE">
      <w:pPr>
        <w:pStyle w:val="26"/>
        <w:ind w:firstLine="480"/>
        <w:rPr>
          <w:rFonts w:hint="default"/>
        </w:rPr>
      </w:pPr>
      <w:r>
        <w:t>说明：</w:t>
      </w:r>
    </w:p>
    <w:p w14:paraId="759CBE9F">
      <w:pPr>
        <w:pStyle w:val="26"/>
        <w:ind w:firstLine="480"/>
        <w:rPr>
          <w:rFonts w:hint="default"/>
        </w:rPr>
      </w:pPr>
      <w:r>
        <w:t>1.比选人在根据《公路工程标准施工监理招标文件》编制项目比选文件中的“项目专用合同条款”时，可根据比选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5109BFB2">
      <w:pPr>
        <w:pStyle w:val="26"/>
        <w:ind w:firstLine="480"/>
        <w:rPr>
          <w:rFonts w:hint="default"/>
        </w:rPr>
      </w:pPr>
      <w:r>
        <w:t>2.项目专用合同条款的编号应与通用合同条款和公路工程专用合同条款一致。</w:t>
      </w:r>
    </w:p>
    <w:p w14:paraId="70DAE7ED">
      <w:pPr>
        <w:pStyle w:val="26"/>
        <w:ind w:firstLine="480"/>
        <w:rPr>
          <w:rFonts w:hint="default"/>
        </w:rPr>
      </w:pPr>
      <w:r>
        <w:t>3.比选人可以根据项目实际情况对项目专用合同条款进行补充、细化。</w:t>
      </w:r>
    </w:p>
    <w:p w14:paraId="5673960E">
      <w:pPr>
        <w:pStyle w:val="26"/>
        <w:ind w:firstLine="480"/>
        <w:rPr>
          <w:rFonts w:hint="default"/>
        </w:rPr>
      </w:pPr>
    </w:p>
    <w:p w14:paraId="6812540B">
      <w:pPr>
        <w:pStyle w:val="27"/>
        <w:rPr>
          <w:rFonts w:hint="default"/>
        </w:rPr>
      </w:pPr>
      <w:r>
        <w:t>1. 一般约定</w:t>
      </w:r>
    </w:p>
    <w:p w14:paraId="3E857E0E">
      <w:pPr>
        <w:pStyle w:val="26"/>
        <w:ind w:firstLine="482"/>
        <w:rPr>
          <w:rFonts w:hint="default"/>
          <w:b/>
          <w:bCs/>
        </w:rPr>
      </w:pPr>
      <w:r>
        <w:rPr>
          <w:b/>
          <w:bCs/>
        </w:rPr>
        <w:t>1.1 词语定义</w:t>
      </w:r>
    </w:p>
    <w:p w14:paraId="356FA5FA">
      <w:pPr>
        <w:pStyle w:val="26"/>
        <w:ind w:firstLine="480"/>
      </w:pPr>
      <w:r>
        <w:t>1.1.2.2 委托人：四川川汶高速公路有限责任公司。</w:t>
      </w:r>
    </w:p>
    <w:p w14:paraId="79FBC54F">
      <w:pPr>
        <w:pStyle w:val="26"/>
        <w:ind w:firstLine="480"/>
        <w:rPr>
          <w:rFonts w:hint="default"/>
        </w:rPr>
      </w:pPr>
      <w:r>
        <w:t>1.1.2.6承包人：</w:t>
      </w:r>
      <w:r>
        <w:rPr>
          <w:rFonts w:hint="eastAsia"/>
          <w:lang w:val="en-US" w:eastAsia="zh-CN"/>
        </w:rPr>
        <w:t>/</w:t>
      </w:r>
      <w:r>
        <w:t>。</w:t>
      </w:r>
    </w:p>
    <w:p w14:paraId="050F6800">
      <w:pPr>
        <w:pStyle w:val="26"/>
        <w:ind w:firstLine="480"/>
        <w:rPr>
          <w:rFonts w:hint="default"/>
        </w:rPr>
      </w:pPr>
      <w:r>
        <w:t>本款补充：</w:t>
      </w:r>
    </w:p>
    <w:p w14:paraId="2778F1AF">
      <w:pPr>
        <w:pStyle w:val="26"/>
        <w:ind w:firstLine="480"/>
        <w:rPr>
          <w:rFonts w:hint="default"/>
        </w:rPr>
      </w:pPr>
      <w:r>
        <w:t>1.1.2.10试验检测机构：受委托人委托提供试验检测服务并具有试验检测资质证书的法人或其合法继承人。</w:t>
      </w:r>
    </w:p>
    <w:p w14:paraId="29F740D8">
      <w:pPr>
        <w:pStyle w:val="26"/>
        <w:ind w:firstLine="480"/>
        <w:rPr>
          <w:rFonts w:hint="default"/>
        </w:rPr>
      </w:pPr>
      <w:r>
        <w:t>1.1.2.11监理试验室：由试验检测机构派出并代表其履行监理试验室合同的现场检测单位。</w:t>
      </w:r>
    </w:p>
    <w:p w14:paraId="7F2A9131">
      <w:pPr>
        <w:pStyle w:val="26"/>
        <w:ind w:firstLine="482"/>
        <w:rPr>
          <w:rFonts w:hint="default"/>
          <w:b/>
          <w:bCs/>
        </w:rPr>
      </w:pPr>
      <w:r>
        <w:rPr>
          <w:b/>
          <w:bCs/>
        </w:rPr>
        <w:t xml:space="preserve">1.4 合同文件的优先顺序 </w:t>
      </w:r>
    </w:p>
    <w:p w14:paraId="7246FE00">
      <w:pPr>
        <w:pStyle w:val="26"/>
        <w:ind w:firstLine="480"/>
        <w:rPr>
          <w:rFonts w:hint="default"/>
        </w:rPr>
      </w:pPr>
      <w:r>
        <w:t>第1.4款 细化为：</w:t>
      </w:r>
    </w:p>
    <w:p w14:paraId="45A9B1EE">
      <w:pPr>
        <w:pStyle w:val="26"/>
        <w:ind w:firstLine="480"/>
        <w:rPr>
          <w:rFonts w:hint="default"/>
        </w:rPr>
      </w:pPr>
      <w:r>
        <w:t xml:space="preserve">组成合同的各项文件应互相解释，互为说明。除项目专用合同条款另有约定外，解释合同文件的优先顺序如下 ： </w:t>
      </w:r>
    </w:p>
    <w:p w14:paraId="03776D8B">
      <w:pPr>
        <w:pStyle w:val="26"/>
        <w:ind w:firstLine="480"/>
        <w:rPr>
          <w:rFonts w:hint="default"/>
        </w:rPr>
      </w:pPr>
      <w:r>
        <w:t xml:space="preserve">（1）合同协议书及各种合同附件； </w:t>
      </w:r>
    </w:p>
    <w:p w14:paraId="3F3EC587">
      <w:pPr>
        <w:pStyle w:val="26"/>
        <w:ind w:firstLine="480"/>
        <w:rPr>
          <w:rFonts w:hint="default"/>
        </w:rPr>
      </w:pPr>
      <w:r>
        <w:t>（2）中选通知书；</w:t>
      </w:r>
    </w:p>
    <w:p w14:paraId="0F3EC97F">
      <w:pPr>
        <w:pStyle w:val="26"/>
        <w:ind w:firstLine="480"/>
        <w:rPr>
          <w:rFonts w:hint="default"/>
        </w:rPr>
      </w:pPr>
      <w:r>
        <w:t>（3）比选申请函；</w:t>
      </w:r>
    </w:p>
    <w:p w14:paraId="389B9CFA">
      <w:pPr>
        <w:pStyle w:val="26"/>
        <w:ind w:firstLine="480"/>
        <w:rPr>
          <w:rFonts w:hint="default"/>
        </w:rPr>
      </w:pPr>
      <w:r>
        <w:t xml:space="preserve">（4）项目专用合同条款； </w:t>
      </w:r>
    </w:p>
    <w:p w14:paraId="5033CB2C">
      <w:pPr>
        <w:pStyle w:val="26"/>
        <w:ind w:firstLine="480"/>
        <w:rPr>
          <w:rFonts w:hint="default"/>
        </w:rPr>
      </w:pPr>
      <w:r>
        <w:t>（5）公路工程专用合同条款</w:t>
      </w:r>
    </w:p>
    <w:p w14:paraId="54B734C4">
      <w:pPr>
        <w:pStyle w:val="26"/>
        <w:ind w:firstLine="480"/>
        <w:rPr>
          <w:rFonts w:hint="default"/>
        </w:rPr>
      </w:pPr>
      <w:r>
        <w:t xml:space="preserve">（6）通用合同条款； </w:t>
      </w:r>
    </w:p>
    <w:p w14:paraId="301E0EB6">
      <w:pPr>
        <w:pStyle w:val="26"/>
        <w:ind w:firstLine="480"/>
        <w:rPr>
          <w:rFonts w:hint="default"/>
        </w:rPr>
      </w:pPr>
      <w:r>
        <w:t xml:space="preserve">（7）委托人要求； </w:t>
      </w:r>
    </w:p>
    <w:p w14:paraId="6DC87D9D">
      <w:pPr>
        <w:pStyle w:val="26"/>
        <w:ind w:firstLine="480"/>
        <w:rPr>
          <w:rFonts w:hint="default"/>
        </w:rPr>
      </w:pPr>
      <w:r>
        <w:t xml:space="preserve">（8）监理试验室服务费用清单； </w:t>
      </w:r>
    </w:p>
    <w:p w14:paraId="4056CB4F">
      <w:pPr>
        <w:pStyle w:val="26"/>
        <w:ind w:firstLine="480"/>
        <w:rPr>
          <w:rFonts w:hint="default"/>
        </w:rPr>
      </w:pPr>
      <w:r>
        <w:t xml:space="preserve">（9）监理试验室有关人员、试验检测设备投入的承诺； </w:t>
      </w:r>
    </w:p>
    <w:p w14:paraId="12C31A87">
      <w:pPr>
        <w:pStyle w:val="26"/>
        <w:ind w:firstLine="480"/>
        <w:rPr>
          <w:rFonts w:hint="default"/>
        </w:rPr>
      </w:pPr>
      <w:r>
        <w:t xml:space="preserve">（10）其他合同文件。 </w:t>
      </w:r>
    </w:p>
    <w:p w14:paraId="1879680D">
      <w:pPr>
        <w:pStyle w:val="26"/>
        <w:ind w:firstLine="480"/>
        <w:rPr>
          <w:rFonts w:hint="default"/>
        </w:rPr>
      </w:pPr>
      <w:r>
        <w:t>合同当事人针对各类合同文件所作出的补充和修改亦属于合同文件的组成部分，属于同一类内容的文件，应以最新签署的为准。</w:t>
      </w:r>
    </w:p>
    <w:p w14:paraId="11692F08">
      <w:pPr>
        <w:pStyle w:val="26"/>
        <w:ind w:firstLine="482"/>
        <w:rPr>
          <w:rFonts w:hint="default"/>
          <w:b/>
          <w:bCs/>
        </w:rPr>
      </w:pPr>
      <w:bookmarkStart w:id="21" w:name="_Toc520709500"/>
      <w:bookmarkStart w:id="22" w:name="_Toc523921807"/>
      <w:r>
        <w:rPr>
          <w:b/>
          <w:bCs/>
        </w:rPr>
        <w:t>1.5 合同协议书</w:t>
      </w:r>
      <w:bookmarkEnd w:id="21"/>
      <w:bookmarkEnd w:id="22"/>
    </w:p>
    <w:p w14:paraId="2DAE23D0">
      <w:pPr>
        <w:pStyle w:val="26"/>
        <w:ind w:firstLine="480"/>
        <w:rPr>
          <w:rFonts w:hint="default"/>
        </w:rPr>
      </w:pPr>
      <w:r>
        <w:t>第1.5款细化为：</w:t>
      </w:r>
    </w:p>
    <w:p w14:paraId="30FC3D94">
      <w:pPr>
        <w:pStyle w:val="26"/>
        <w:ind w:firstLine="480"/>
        <w:rPr>
          <w:rFonts w:hint="default"/>
        </w:rPr>
      </w:pPr>
      <w:r>
        <w:t xml:space="preserve">试验检测机构按中选通知书规定的时间与委托人签订合同协议书。除法律另有规定或合同另有约定外，委托人和试验检测机构的法定代表人或其委托代理人在合同协议书上签字并盖单位章后，合同生效。 </w:t>
      </w:r>
    </w:p>
    <w:p w14:paraId="0EB298DD">
      <w:pPr>
        <w:pStyle w:val="26"/>
        <w:ind w:firstLine="480"/>
        <w:rPr>
          <w:rFonts w:hint="default"/>
        </w:rPr>
      </w:pPr>
      <w:r>
        <w:t>合同文件的制作费用由试验检测机构负责，合同文件的份数视需要由委托人与试验检测机构协商确定。在合同协议书签订之前，比选申请文件和中选通知书将约束双方。</w:t>
      </w:r>
    </w:p>
    <w:p w14:paraId="4C03DC56">
      <w:pPr>
        <w:pStyle w:val="26"/>
        <w:ind w:firstLine="482"/>
        <w:rPr>
          <w:rFonts w:hint="default"/>
          <w:b/>
          <w:bCs/>
        </w:rPr>
      </w:pPr>
      <w:r>
        <w:rPr>
          <w:b/>
          <w:bCs/>
        </w:rPr>
        <w:t>1.8转让和分包</w:t>
      </w:r>
    </w:p>
    <w:p w14:paraId="3BC56B58">
      <w:pPr>
        <w:pStyle w:val="26"/>
        <w:ind w:firstLine="480"/>
        <w:rPr>
          <w:rFonts w:hint="default"/>
        </w:rPr>
      </w:pPr>
      <w:r>
        <w:t>本款补充第1.8.3项：</w:t>
      </w:r>
    </w:p>
    <w:p w14:paraId="10846D7E">
      <w:pPr>
        <w:pStyle w:val="26"/>
        <w:ind w:firstLine="480"/>
        <w:rPr>
          <w:rFonts w:hint="default"/>
        </w:rPr>
      </w:pPr>
      <w:r>
        <w:t>1.8.3本项目监理试验室合同不允许转包或违法分包，一经发现按违约处理，直至终止合同。若试验检测机构使用通过受让或租借等方式获取的资格、资质证书比选申请的，如经核查属实，立即清退出场，同时没收履约保证金，并上报上级行业主管部门。如果履约保证金不能弥补由此给委托人造成的损失，委托人将按照法律程序进行索赔。</w:t>
      </w:r>
    </w:p>
    <w:p w14:paraId="397A6100">
      <w:pPr>
        <w:pStyle w:val="26"/>
        <w:ind w:firstLine="482"/>
        <w:rPr>
          <w:rFonts w:hint="default"/>
          <w:b/>
          <w:bCs/>
        </w:rPr>
      </w:pPr>
      <w:bookmarkStart w:id="23" w:name="_Toc520709503"/>
      <w:bookmarkStart w:id="24" w:name="_Toc523921810"/>
      <w:r>
        <w:rPr>
          <w:b/>
          <w:bCs/>
        </w:rPr>
        <w:t>1.12委托人要求</w:t>
      </w:r>
      <w:bookmarkEnd w:id="23"/>
      <w:bookmarkEnd w:id="24"/>
    </w:p>
    <w:p w14:paraId="10C36DCC">
      <w:pPr>
        <w:pStyle w:val="26"/>
        <w:ind w:firstLine="480"/>
        <w:rPr>
          <w:rFonts w:hint="default"/>
        </w:rPr>
      </w:pPr>
      <w:r>
        <w:t>1.12.3委托人提供国外规范和标准的时间： /  ，提供数量：  /  ，提供期限：  /  。</w:t>
      </w:r>
    </w:p>
    <w:p w14:paraId="3740D92C">
      <w:pPr>
        <w:pStyle w:val="27"/>
        <w:rPr>
          <w:rFonts w:hint="default"/>
        </w:rPr>
      </w:pPr>
      <w:r>
        <w:t>2.委托人的义务</w:t>
      </w:r>
    </w:p>
    <w:p w14:paraId="4BD56F7F">
      <w:pPr>
        <w:pStyle w:val="26"/>
        <w:ind w:firstLine="482"/>
        <w:rPr>
          <w:rFonts w:hint="default"/>
          <w:b/>
          <w:bCs/>
        </w:rPr>
      </w:pPr>
      <w:bookmarkStart w:id="25" w:name="_Toc523921812"/>
      <w:bookmarkStart w:id="26" w:name="_Toc520709505"/>
      <w:r>
        <w:rPr>
          <w:b/>
          <w:bCs/>
        </w:rPr>
        <w:t>2.2发出开始监理试验通知</w:t>
      </w:r>
      <w:bookmarkEnd w:id="25"/>
      <w:bookmarkEnd w:id="26"/>
    </w:p>
    <w:p w14:paraId="232E524D">
      <w:pPr>
        <w:pStyle w:val="26"/>
        <w:ind w:firstLine="480"/>
        <w:rPr>
          <w:rFonts w:hint="default"/>
        </w:rPr>
      </w:pPr>
      <w:r>
        <w:t>本款细化为：</w:t>
      </w:r>
    </w:p>
    <w:p w14:paraId="7E44CADF">
      <w:pPr>
        <w:pStyle w:val="26"/>
        <w:ind w:firstLine="480"/>
        <w:rPr>
          <w:rFonts w:hint="default"/>
        </w:rPr>
      </w:pPr>
      <w:r>
        <w:t xml:space="preserve">委托人应按第 6.1 款的约定向试验检测机构发出开始监理试验通知。 </w:t>
      </w:r>
    </w:p>
    <w:p w14:paraId="2226061E">
      <w:pPr>
        <w:pStyle w:val="26"/>
        <w:ind w:firstLine="482"/>
        <w:rPr>
          <w:rFonts w:hint="default"/>
          <w:b/>
          <w:bCs/>
        </w:rPr>
      </w:pPr>
      <w:r>
        <w:rPr>
          <w:b/>
          <w:bCs/>
        </w:rPr>
        <w:t>2.3提供设备、设施</w:t>
      </w:r>
    </w:p>
    <w:p w14:paraId="43B6BD9E">
      <w:pPr>
        <w:pStyle w:val="26"/>
        <w:ind w:firstLine="480"/>
        <w:rPr>
          <w:rFonts w:hint="default"/>
        </w:rPr>
      </w:pPr>
      <w:r>
        <w:t>详见第4.1.4（1）款。</w:t>
      </w:r>
    </w:p>
    <w:p w14:paraId="00786099">
      <w:pPr>
        <w:pStyle w:val="26"/>
        <w:ind w:firstLine="482"/>
        <w:rPr>
          <w:rFonts w:hint="default"/>
          <w:b/>
          <w:bCs/>
        </w:rPr>
      </w:pPr>
      <w:r>
        <w:rPr>
          <w:b/>
          <w:bCs/>
        </w:rPr>
        <w:t>2.8授权通知</w:t>
      </w:r>
    </w:p>
    <w:p w14:paraId="63AFFE1C">
      <w:pPr>
        <w:pStyle w:val="26"/>
        <w:ind w:firstLine="480"/>
        <w:rPr>
          <w:rFonts w:hint="default"/>
        </w:rPr>
      </w:pPr>
      <w:r>
        <w:t>本款约定为：当承包人工地试验室与监理试验室的试验检测数据有矛盾时，应进行复查，复查仍有矛盾时，原则上以监理试验室的检测结果为准，委托人保留委托具有相同或更高资质的独立第三方进行平行抽检或验证试验的权利，仲裁试验所发生的费用由过错方承担。</w:t>
      </w:r>
    </w:p>
    <w:p w14:paraId="008A9BDF">
      <w:pPr>
        <w:pStyle w:val="26"/>
        <w:ind w:firstLine="482"/>
        <w:rPr>
          <w:rFonts w:hint="default"/>
          <w:b/>
          <w:bCs/>
        </w:rPr>
      </w:pPr>
      <w:r>
        <w:rPr>
          <w:b/>
          <w:bCs/>
        </w:rPr>
        <w:t>2.9委托人指令的下达</w:t>
      </w:r>
    </w:p>
    <w:p w14:paraId="3A857B0F">
      <w:pPr>
        <w:pStyle w:val="26"/>
        <w:ind w:firstLine="480"/>
        <w:rPr>
          <w:rFonts w:hint="default"/>
        </w:rPr>
      </w:pPr>
      <w:r>
        <w:t>本款细化为：委托人在本合同约定的服务范围内对承包人的任何意见或要求，可通过监理人（含监理试验室）向承包人提出。</w:t>
      </w:r>
    </w:p>
    <w:p w14:paraId="610A2C0F">
      <w:pPr>
        <w:pStyle w:val="27"/>
        <w:rPr>
          <w:rFonts w:hint="default"/>
        </w:rPr>
      </w:pPr>
      <w:r>
        <w:t>3.委托人管理</w:t>
      </w:r>
    </w:p>
    <w:p w14:paraId="73A824EB">
      <w:pPr>
        <w:pStyle w:val="26"/>
        <w:ind w:firstLine="482"/>
        <w:rPr>
          <w:rFonts w:hint="default"/>
          <w:b/>
          <w:bCs/>
        </w:rPr>
      </w:pPr>
      <w:r>
        <w:rPr>
          <w:b/>
          <w:bCs/>
        </w:rPr>
        <w:t>3.3决定或答复</w:t>
      </w:r>
    </w:p>
    <w:p w14:paraId="79939F4D">
      <w:pPr>
        <w:pStyle w:val="26"/>
        <w:ind w:firstLine="480"/>
        <w:rPr>
          <w:rFonts w:hint="default"/>
        </w:rPr>
      </w:pPr>
      <w:r>
        <w:t>3.3.2委托人应在收到监理试验室书面提出的事项后7天内做出书面答复，重大问题不得超过28天。</w:t>
      </w:r>
    </w:p>
    <w:p w14:paraId="39722909">
      <w:pPr>
        <w:pStyle w:val="27"/>
        <w:rPr>
          <w:rFonts w:hint="default"/>
        </w:rPr>
      </w:pPr>
      <w:r>
        <w:t>4. 监理试验室义务</w:t>
      </w:r>
    </w:p>
    <w:p w14:paraId="07BED701">
      <w:pPr>
        <w:pStyle w:val="26"/>
        <w:ind w:firstLine="482"/>
        <w:rPr>
          <w:rFonts w:hint="default"/>
          <w:b/>
          <w:bCs/>
        </w:rPr>
      </w:pPr>
      <w:r>
        <w:rPr>
          <w:b/>
          <w:bCs/>
        </w:rPr>
        <w:t>4.1. 监理试验室的一般义务</w:t>
      </w:r>
    </w:p>
    <w:p w14:paraId="4155AD09">
      <w:pPr>
        <w:pStyle w:val="26"/>
        <w:ind w:firstLine="480"/>
        <w:rPr>
          <w:rFonts w:hint="default"/>
        </w:rPr>
      </w:pPr>
      <w:r>
        <w:t>4.1.4其他义务</w:t>
      </w:r>
    </w:p>
    <w:p w14:paraId="5FBE3E49">
      <w:pPr>
        <w:pStyle w:val="26"/>
        <w:ind w:firstLine="480"/>
        <w:rPr>
          <w:rFonts w:hint="default"/>
        </w:rPr>
      </w:pPr>
      <w:r>
        <w:t>本项细化为：</w:t>
      </w:r>
    </w:p>
    <w:p w14:paraId="177632AC">
      <w:pPr>
        <w:pStyle w:val="26"/>
        <w:ind w:firstLine="480"/>
        <w:rPr>
          <w:rFonts w:hint="default"/>
        </w:rPr>
      </w:pPr>
      <w:r>
        <w:t>（1）试验检测机构自行解决并承担现场人员，在施工期间的办公、生活、试验驻地的建设以及办公生活设施、交通设施、试验设施、互联网接口、冷暖设施、进出现场交通服务和其他便利条件的费用。为实施本合同工程的车辆，经过相关收费公路的通行费用，由监理试验室单位自行按章缴纳。</w:t>
      </w:r>
    </w:p>
    <w:p w14:paraId="1DC89FAB">
      <w:pPr>
        <w:pStyle w:val="26"/>
        <w:ind w:firstLine="480"/>
        <w:rPr>
          <w:rFonts w:hint="default"/>
        </w:rPr>
      </w:pPr>
      <w:r>
        <w:fldChar w:fldCharType="begin"/>
      </w:r>
      <w:r>
        <w:instrText xml:space="preserve">= 1 \* GB3</w:instrText>
      </w:r>
      <w:r>
        <w:fldChar w:fldCharType="separate"/>
      </w:r>
      <w:r>
        <w:t>①</w:t>
      </w:r>
      <w:r>
        <w:fldChar w:fldCharType="end"/>
      </w:r>
      <w:r>
        <w:t>监理试验室办公生活试验用房：由监理试验室自备、自购或租用，列入监理试验室服务费用报价中。当监理试验室服务完成或终止时，其设施、设备的产权归监理试验室试验检测机构所有。</w:t>
      </w:r>
    </w:p>
    <w:p w14:paraId="35FB3BAD">
      <w:pPr>
        <w:pStyle w:val="26"/>
        <w:ind w:firstLine="480"/>
        <w:rPr>
          <w:rFonts w:hint="default"/>
        </w:rPr>
      </w:pPr>
      <w:r>
        <w:fldChar w:fldCharType="begin"/>
      </w:r>
      <w:r>
        <w:instrText xml:space="preserve">= 2 \* GB3</w:instrText>
      </w:r>
      <w:r>
        <w:fldChar w:fldCharType="separate"/>
      </w:r>
      <w:r>
        <w:t>②</w:t>
      </w:r>
      <w:r>
        <w:fldChar w:fldCharType="end"/>
      </w:r>
      <w:r>
        <w:t>监理试验室办公设施设备：监理试验室办公设施设备的购置、日常使用费用及维护费用满足需要，由监理试验室自行报价，当监理试验室服务完成或终止时，设施、设备的产权归试验检测机构所有。</w:t>
      </w:r>
    </w:p>
    <w:p w14:paraId="26B12A7F">
      <w:pPr>
        <w:pStyle w:val="26"/>
        <w:ind w:firstLine="480"/>
        <w:rPr>
          <w:rFonts w:hint="default"/>
        </w:rPr>
      </w:pPr>
      <w:r>
        <w:fldChar w:fldCharType="begin"/>
      </w:r>
      <w:r>
        <w:instrText xml:space="preserve">= 3 \* GB3</w:instrText>
      </w:r>
      <w:r>
        <w:fldChar w:fldCharType="separate"/>
      </w:r>
      <w:r>
        <w:t>③</w:t>
      </w:r>
      <w:r>
        <w:fldChar w:fldCharType="end"/>
      </w:r>
      <w:r>
        <w:t>监理试验室交通设施：监理试验室交通设施费用包括车辆折旧费、使用费（燃油费、年检、维修保养、保险、过路费等）。当监理试验室服务完成或终止时，车辆归试验检测机构所有。交通设施费用由监理试验室自行报价，若在实际使用中超出比选申请报价，则超出部分的费用，由监理试验室自行承担。</w:t>
      </w:r>
    </w:p>
    <w:p w14:paraId="4F6ADDC2">
      <w:pPr>
        <w:pStyle w:val="26"/>
        <w:ind w:firstLine="480"/>
        <w:rPr>
          <w:rFonts w:hint="default"/>
        </w:rPr>
      </w:pPr>
      <w:r>
        <w:t xml:space="preserve">监理试验室用车： </w:t>
      </w:r>
    </w:p>
    <w:p w14:paraId="4F376A46">
      <w:pPr>
        <w:pStyle w:val="26"/>
        <w:ind w:firstLine="480"/>
        <w:rPr>
          <w:rFonts w:hint="default"/>
        </w:rPr>
      </w:pPr>
      <w:r>
        <w:t>交通设施设备费用包括监理试验室用车折旧费以及车辆使用费，车辆使用费用包括燃油费、年检、维修保养、保险、过路费等。当监理试验室服务完成或终止时，车辆归监理试验室所有。交通设施费用由监理试验室自行报价，若在实际使用中超出比选申请报价，则超出部分的费用，由监理试验室自行承担。</w:t>
      </w:r>
    </w:p>
    <w:p w14:paraId="73B51BD2">
      <w:pPr>
        <w:pStyle w:val="26"/>
        <w:ind w:firstLine="480"/>
        <w:rPr>
          <w:rFonts w:hint="default"/>
        </w:rPr>
      </w:pPr>
      <w:r>
        <w:fldChar w:fldCharType="begin"/>
      </w:r>
      <w:r>
        <w:instrText xml:space="preserve">= 4 \* GB3</w:instrText>
      </w:r>
      <w:r>
        <w:fldChar w:fldCharType="separate"/>
      </w:r>
      <w:r>
        <w:t>④</w:t>
      </w:r>
      <w:r>
        <w:fldChar w:fldCharType="end"/>
      </w:r>
      <w:r>
        <w:t>监理试验室试验设施：本项目监理试验室所需试验检测设备由监理试验室单位自备、自购或租用，列入监理试验室试验设施费用中(仅计折旧费、消耗费、租赁费及维修保养费)，其产权归试验检测机构所有。</w:t>
      </w:r>
    </w:p>
    <w:p w14:paraId="4CC91168">
      <w:pPr>
        <w:pStyle w:val="26"/>
        <w:ind w:firstLine="480"/>
        <w:rPr>
          <w:rFonts w:hint="default"/>
        </w:rPr>
      </w:pPr>
      <w:r>
        <w:fldChar w:fldCharType="begin"/>
      </w:r>
      <w:r>
        <w:instrText xml:space="preserve">= 5 \* GB3</w:instrText>
      </w:r>
      <w:r>
        <w:fldChar w:fldCharType="separate"/>
      </w:r>
      <w:r>
        <w:t>⑤</w:t>
      </w:r>
      <w:r>
        <w:fldChar w:fldCharType="end"/>
      </w:r>
      <w:r>
        <w:t>监理试验室生活设施：监理试验室生活设施及日常使用费用、维护费用满足需要，由各标段监理试验室自行报价，当监理试验室服务完成或终止时，设施、设备的产权归试验检测的单位所有。</w:t>
      </w:r>
    </w:p>
    <w:p w14:paraId="29BB04B7">
      <w:pPr>
        <w:pStyle w:val="26"/>
        <w:ind w:firstLine="480"/>
        <w:rPr>
          <w:rFonts w:hint="default"/>
        </w:rPr>
      </w:pPr>
      <w:r>
        <w:fldChar w:fldCharType="begin"/>
      </w:r>
      <w:r>
        <w:instrText xml:space="preserve">= 6 \* GB3</w:instrText>
      </w:r>
      <w:r>
        <w:fldChar w:fldCharType="separate"/>
      </w:r>
      <w:r>
        <w:t>⑥</w:t>
      </w:r>
      <w:r>
        <w:fldChar w:fldCharType="end"/>
      </w:r>
      <w:r>
        <w:t>合同指定使用的各种规程、规范由监理试验室自行购买，且至少购买3套完整的规程、规范。委托人在监理试验室驻地建设验收时一并检查。</w:t>
      </w:r>
    </w:p>
    <w:p w14:paraId="71CB119C">
      <w:pPr>
        <w:pStyle w:val="26"/>
        <w:ind w:firstLine="480"/>
        <w:rPr>
          <w:rFonts w:hint="default"/>
        </w:rPr>
      </w:pPr>
      <w:r>
        <w:t>信息化管理：为推行现代工程管理，本项目按照“五化”建设要求开展管理信息化建设，按委托人要求将工程质量、安全、进度、造价、设计变更、计量支付、工程质量试验检测信息化施工及动态设计应用、监理试验室人员身份等管理内容纳入信息系统管理。监理试验室应认真学习并执行委托人关于信息系统方面的管理办法，应配合委托人不断完善和维护该系统，实现各参建单位之间的无纸化办公，及时处理上下级之间往来文件；通过计量、变更、计划统计、财务支付、征地拆迁等子系统及时审核合同支付资料，确保建设资金及时支付，实现方便、快捷的管理。该费用包含在比选申请报价中不再单独列支。</w:t>
      </w:r>
    </w:p>
    <w:p w14:paraId="6DF67FEA">
      <w:pPr>
        <w:pStyle w:val="26"/>
        <w:ind w:firstLine="480"/>
        <w:rPr>
          <w:rFonts w:hint="default"/>
        </w:rPr>
      </w:pPr>
      <w:r>
        <w:t>质量智能管控:按照《四川省交通运输厅关于印发高速公路工程质量检测信息监控的工作实施意见的通知》（川交函〔2013〕248 号），监理试验室需要建立并运行项目工程质量检测管理信息监控系统，进行仪器设备改装和软件系统安装，实现检测人员身份管理、关键试验仪器（包括但不限于万能试验机、压力机）数据自动采集、检测数据实时上传、检测数据统计分析、不合格品及处理情况实时上报等基本功能。监理试验室自购的各类质量智能管控产品必须满足相关规范要求及委托人整体需求，并将质量管控数据接入委托人建设管理系统。完成此项工作的所有费用由监理试验室承担，包含在比选申请报价中不再单独列支。</w:t>
      </w:r>
    </w:p>
    <w:p w14:paraId="117DF389">
      <w:pPr>
        <w:pStyle w:val="26"/>
        <w:ind w:firstLine="480"/>
        <w:rPr>
          <w:rFonts w:hint="default"/>
        </w:rPr>
      </w:pPr>
      <w:r>
        <w:t>（3）廉洁与防腐</w:t>
      </w:r>
    </w:p>
    <w:p w14:paraId="371CE76B">
      <w:pPr>
        <w:pStyle w:val="26"/>
        <w:ind w:firstLine="480"/>
        <w:rPr>
          <w:rFonts w:hint="default"/>
        </w:rPr>
      </w:pPr>
      <w:r>
        <w:t>监理试验室在合同执行过程中，应具有严格的职业道德水准，在签订监理试验室合同的同时签订廉政合同。试验检测人员不得接受或索取施工承包人或供货人任何有价物品；不得参与承包人邀请的有可能影响检测公正的任何活动；也不得私自向承包人要求安排个人亲朋好友工作或购买推荐材料；更不得获取超出合同规定以外的额外费用。一经发现和查实上述情况，委托人有权要求监理试验室按照有关规定严肃处理当事人。对于因上述行为给委托人所造成的工程损害及经济损失，委托人将要求监理试验室按照有关合同条款予以赔偿，情节严重的，委托人有权终止监理试验室合同。</w:t>
      </w:r>
    </w:p>
    <w:p w14:paraId="29963341">
      <w:pPr>
        <w:pStyle w:val="26"/>
        <w:ind w:firstLine="480"/>
        <w:rPr>
          <w:rFonts w:hint="default"/>
        </w:rPr>
      </w:pPr>
      <w:r>
        <w:t>（4）建设环保、文明的标准化监理试验室</w:t>
      </w:r>
    </w:p>
    <w:p w14:paraId="2ACFBB6D">
      <w:pPr>
        <w:pStyle w:val="26"/>
        <w:ind w:firstLine="480"/>
        <w:rPr>
          <w:rFonts w:hint="default"/>
        </w:rPr>
      </w:pPr>
      <w:r>
        <w:t>监理试验室应按《公路工程质量检验评定标准》（JTG F80-1-2017)做好质量、安全、环保工作，还应督促承包人按照委托人的相关管理办法做好文明施工、民工管理、标准化、品质工程施工要求试验等相关管理工作。</w:t>
      </w:r>
    </w:p>
    <w:p w14:paraId="46457DCA">
      <w:pPr>
        <w:pStyle w:val="26"/>
        <w:ind w:firstLine="480"/>
        <w:rPr>
          <w:rFonts w:hint="default"/>
        </w:rPr>
      </w:pPr>
      <w:r>
        <w:t>环保文明检测：监理试验室还应在技术建议书中，明确环保文明检测的具体措施，执行委托人的环保文明管理办法，搞好安全管理与环保文明检测等现场管理。</w:t>
      </w:r>
    </w:p>
    <w:p w14:paraId="42CD2AA2">
      <w:pPr>
        <w:pStyle w:val="26"/>
        <w:ind w:firstLine="480"/>
        <w:rPr>
          <w:rFonts w:hint="default"/>
        </w:rPr>
      </w:pPr>
      <w:r>
        <w:t>试验检测品质工程、标准化：监理试验室应按照交通运输部《交通运输部关于打造公路水运品质工程的指导意见》（交安监发</w:t>
      </w:r>
      <w:r>
        <w:rPr>
          <w:rFonts w:ascii="微软雅黑" w:hAnsi="微软雅黑" w:eastAsia="微软雅黑" w:cs="微软雅黑"/>
        </w:rPr>
        <w:t>〔</w:t>
      </w:r>
      <w:r>
        <w:t>2016</w:t>
      </w:r>
      <w:r>
        <w:rPr>
          <w:rFonts w:ascii="微软雅黑" w:hAnsi="微软雅黑" w:eastAsia="微软雅黑" w:cs="微软雅黑"/>
        </w:rPr>
        <w:t>〕</w:t>
      </w:r>
      <w:r>
        <w:t>216 号）、《交通运输部办公厅关于印发公路水运品质工程评价标准（试行）的通知》、《高速公路施工标准化技术指南》、四川省交通运输厅《四川省交通重点项目创建“优质工程”活动实施方案》（川交函</w:t>
      </w:r>
      <w:r>
        <w:rPr>
          <w:rFonts w:ascii="微软雅黑" w:hAnsi="微软雅黑" w:eastAsia="微软雅黑" w:cs="微软雅黑"/>
        </w:rPr>
        <w:t>〔</w:t>
      </w:r>
      <w:r>
        <w:t>2013</w:t>
      </w:r>
      <w:r>
        <w:rPr>
          <w:rFonts w:ascii="微软雅黑" w:hAnsi="微软雅黑" w:eastAsia="微软雅黑" w:cs="微软雅黑"/>
        </w:rPr>
        <w:t>〕</w:t>
      </w:r>
      <w:r>
        <w:t>250 号）、交通运输部《高速公路施工标准化技术指南》、四川省交通运输厅《四川省高速公路施工标准化技术指南》、《四川省高速公路工地标准化建设指导意见》及四川省交通运输厅和委托人制定的品质工程及标准化管理办法的相关要求，完善品质工程、标准化建设。</w:t>
      </w:r>
    </w:p>
    <w:p w14:paraId="4F086366">
      <w:pPr>
        <w:pStyle w:val="26"/>
        <w:ind w:firstLine="480"/>
        <w:rPr>
          <w:rFonts w:hint="default"/>
        </w:rPr>
      </w:pPr>
      <w:r>
        <w:t>（5）事故报告必须按交通运输部《公路水运建设工程质量事故等级划分和报告制度的通知》（交办安监</w:t>
      </w:r>
      <w:r>
        <w:rPr>
          <w:rFonts w:ascii="微软雅黑" w:hAnsi="微软雅黑" w:eastAsia="微软雅黑" w:cs="微软雅黑"/>
        </w:rPr>
        <w:t>〔</w:t>
      </w:r>
      <w:r>
        <w:t>2016</w:t>
      </w:r>
      <w:r>
        <w:rPr>
          <w:rFonts w:ascii="微软雅黑" w:hAnsi="微软雅黑" w:eastAsia="微软雅黑" w:cs="微软雅黑"/>
        </w:rPr>
        <w:t>〕</w:t>
      </w:r>
      <w:r>
        <w:t>146号）、国务院《生产安全事故报告和调查处理条例》的要求办理及四川省现行有关规定的质量安全报告程序进行。</w:t>
      </w:r>
    </w:p>
    <w:p w14:paraId="3CF19525">
      <w:pPr>
        <w:pStyle w:val="26"/>
        <w:ind w:firstLine="480"/>
        <w:rPr>
          <w:rFonts w:hint="default"/>
        </w:rPr>
      </w:pPr>
      <w:r>
        <w:t>（6）在工程实施过程中，如果有新的法律法规、规章制度、办法细则的颁布实施，本项目将按上级主管部门的决定采用执行。</w:t>
      </w:r>
    </w:p>
    <w:p w14:paraId="51A46EDE">
      <w:pPr>
        <w:pStyle w:val="26"/>
        <w:ind w:firstLine="480"/>
        <w:rPr>
          <w:rFonts w:hint="default"/>
        </w:rPr>
      </w:pPr>
      <w:r>
        <w:t>施工期间，监理试验室</w:t>
      </w:r>
      <w:r>
        <w:rPr>
          <w:rFonts w:hint="eastAsia"/>
          <w:lang w:val="en-US" w:eastAsia="zh-CN"/>
        </w:rPr>
        <w:t>应制定针对本项目的相关管理制度，同时</w:t>
      </w:r>
      <w:r>
        <w:t>还应执行委托人针对本项目制定的相关管理办法及制度。</w:t>
      </w:r>
    </w:p>
    <w:p w14:paraId="45B787D6">
      <w:pPr>
        <w:pStyle w:val="26"/>
        <w:ind w:firstLine="480"/>
        <w:rPr>
          <w:rFonts w:hint="default"/>
        </w:rPr>
      </w:pPr>
      <w:r>
        <w:t>（7）监理试验室依据相关规定和委托人要求对施工合同段的质量、进度、安全、环保、投资控制等工程的各个方面履行试验检测责任。</w:t>
      </w:r>
    </w:p>
    <w:p w14:paraId="2A512587">
      <w:pPr>
        <w:pStyle w:val="26"/>
        <w:ind w:firstLine="480"/>
        <w:rPr>
          <w:rFonts w:hint="default"/>
        </w:rPr>
      </w:pPr>
      <w:r>
        <w:t>（8）监理试验室依据相关规定和委托人要求对施工合同段的质量、进度、安全、环保、投资控制等工程的各个方面履行试验责任。</w:t>
      </w:r>
    </w:p>
    <w:p w14:paraId="0EDAD85B">
      <w:pPr>
        <w:pStyle w:val="26"/>
        <w:ind w:firstLine="480"/>
        <w:rPr>
          <w:rFonts w:hint="default"/>
        </w:rPr>
      </w:pPr>
      <w:r>
        <w:t>（9）监理试验室应本着公正、科学、诚信、自律的原则，按照监理试验室合同及相关法律法规的要求，严格、严密、科学、公正地进行试验检测服务。</w:t>
      </w:r>
    </w:p>
    <w:p w14:paraId="5DEF184B">
      <w:pPr>
        <w:pStyle w:val="26"/>
        <w:ind w:firstLine="480"/>
        <w:rPr>
          <w:rFonts w:hint="default"/>
        </w:rPr>
      </w:pPr>
      <w:r>
        <w:t>（10）本项目应重视监理试验室人员的综合配置，合理计算监理试验室人员前后进出场时间安排和工作日，确保本项目按期保质保量完成。</w:t>
      </w:r>
    </w:p>
    <w:p w14:paraId="637B799A">
      <w:pPr>
        <w:pStyle w:val="26"/>
        <w:ind w:firstLine="480"/>
        <w:rPr>
          <w:rFonts w:hint="default"/>
        </w:rPr>
      </w:pPr>
      <w:r>
        <w:t>（11）监理试验室应按照《公路工程施工安全技术规程》开展安全生产工作，坚持文明作业，树立良好的社会形象。</w:t>
      </w:r>
    </w:p>
    <w:p w14:paraId="011502CC">
      <w:pPr>
        <w:pStyle w:val="26"/>
        <w:ind w:firstLine="480"/>
        <w:rPr>
          <w:rFonts w:hint="default"/>
        </w:rPr>
      </w:pPr>
      <w:r>
        <w:t>（12）监理试验室应履行合同约定的其他义务。</w:t>
      </w:r>
    </w:p>
    <w:p w14:paraId="4D67799C">
      <w:pPr>
        <w:pStyle w:val="26"/>
        <w:ind w:firstLine="482"/>
        <w:rPr>
          <w:rFonts w:hint="default"/>
          <w:b/>
          <w:bCs/>
        </w:rPr>
      </w:pPr>
      <w:r>
        <w:rPr>
          <w:b/>
          <w:bCs/>
        </w:rPr>
        <w:t>4.2 履约保证金</w:t>
      </w:r>
    </w:p>
    <w:p w14:paraId="1C5B659E">
      <w:pPr>
        <w:pStyle w:val="26"/>
        <w:ind w:firstLine="480"/>
        <w:rPr>
          <w:rFonts w:hint="default"/>
        </w:rPr>
      </w:pPr>
      <w:r>
        <w:t>履约保证金金额：无。</w:t>
      </w:r>
    </w:p>
    <w:p w14:paraId="15F738E3">
      <w:pPr>
        <w:pStyle w:val="26"/>
        <w:ind w:firstLine="480"/>
        <w:rPr>
          <w:rFonts w:hint="default"/>
        </w:rPr>
      </w:pPr>
      <w:r>
        <w:t>缺陷责任期保函金额： 无  。</w:t>
      </w:r>
    </w:p>
    <w:p w14:paraId="125E3272">
      <w:pPr>
        <w:pStyle w:val="26"/>
        <w:ind w:firstLine="482"/>
        <w:rPr>
          <w:rFonts w:hint="default"/>
          <w:b/>
          <w:bCs/>
        </w:rPr>
      </w:pPr>
      <w:r>
        <w:rPr>
          <w:b/>
          <w:bCs/>
        </w:rPr>
        <w:t>4.3联合体</w:t>
      </w:r>
    </w:p>
    <w:p w14:paraId="403E41D4">
      <w:pPr>
        <w:pStyle w:val="26"/>
        <w:ind w:firstLine="480"/>
        <w:rPr>
          <w:rFonts w:hint="default"/>
        </w:rPr>
      </w:pPr>
      <w:r>
        <w:t>本项目不适用。</w:t>
      </w:r>
    </w:p>
    <w:p w14:paraId="20EEBA26">
      <w:pPr>
        <w:pStyle w:val="26"/>
        <w:ind w:firstLine="482"/>
        <w:rPr>
          <w:rFonts w:hint="default"/>
          <w:b/>
          <w:bCs/>
        </w:rPr>
      </w:pPr>
      <w:r>
        <w:rPr>
          <w:b/>
          <w:bCs/>
        </w:rPr>
        <w:t>4.4总监理工程师及试验室主任</w:t>
      </w:r>
    </w:p>
    <w:p w14:paraId="597B9112">
      <w:pPr>
        <w:pStyle w:val="26"/>
        <w:ind w:firstLine="480"/>
        <w:rPr>
          <w:rFonts w:hint="default"/>
        </w:rPr>
      </w:pPr>
      <w:r>
        <w:t>4.4.1～4.4.4项为监理人派驻的总监理工程师内容。试验室主任应接受总监的管理。</w:t>
      </w:r>
    </w:p>
    <w:p w14:paraId="750A0A84">
      <w:pPr>
        <w:pStyle w:val="26"/>
        <w:ind w:firstLine="480"/>
        <w:rPr>
          <w:rFonts w:hint="default"/>
        </w:rPr>
      </w:pPr>
      <w:r>
        <w:t>本款补充4.4.5试验室主任</w:t>
      </w:r>
    </w:p>
    <w:p w14:paraId="26F8919E">
      <w:pPr>
        <w:pStyle w:val="26"/>
        <w:ind w:firstLine="480"/>
        <w:rPr>
          <w:rFonts w:hint="default"/>
        </w:rPr>
      </w:pPr>
      <w:r>
        <w:t>试验检测机构根据合同协议书中的约定指派监理试验室的试验室主任，并在约定的期限内到职。</w:t>
      </w:r>
    </w:p>
    <w:p w14:paraId="0419CFC1">
      <w:pPr>
        <w:pStyle w:val="26"/>
        <w:ind w:firstLine="480"/>
        <w:rPr>
          <w:rFonts w:hint="default"/>
        </w:rPr>
      </w:pPr>
      <w:r>
        <w:t>试验检测机构派驻到项目所在地履行监理试验室服务的试验室主任必须与合同文件中提供的人员相同，如有变更，监理试验室应事先征得委托人同意，并应在更换14天前将拟更换的试验室主任的姓名和详细资料提交委托人，拟更换的试验室主任资历应不低于原试验室主任。合同签订后，试验检测机构填报的关键人员不能到位，应视为试验检测机构违约，由委托人按公路工程专用合同条款以及项目专用合同条款第11.1处理，并有权拒绝支付其监理试验室费用，没收部分或全部履约担保，直至终止合同。</w:t>
      </w:r>
    </w:p>
    <w:p w14:paraId="34B8DC67">
      <w:pPr>
        <w:pStyle w:val="26"/>
        <w:ind w:firstLine="482"/>
        <w:rPr>
          <w:rFonts w:hint="default"/>
          <w:b/>
          <w:bCs/>
        </w:rPr>
      </w:pPr>
      <w:r>
        <w:rPr>
          <w:b/>
          <w:bCs/>
        </w:rPr>
        <w:t xml:space="preserve">4.5监理试验室人员的管理 </w:t>
      </w:r>
    </w:p>
    <w:p w14:paraId="587812A6">
      <w:pPr>
        <w:pStyle w:val="26"/>
        <w:ind w:firstLine="480"/>
        <w:rPr>
          <w:rFonts w:hint="default"/>
        </w:rPr>
      </w:pPr>
      <w:r>
        <w:t>第4.5.1项细化为：试验检测机构应在接到委托人通知之日起7 天内，向委托人提交监理试验室项目机构以及人员安排的报告，其内容应包括项目机构设置、主要试验检测人员和其他人员的名单及资格条件。主要试验检测人员应常驻现场并相对稳定。更换主要试验检测人员的，应取得委托人的书面同意，并向委托人提交继任人员的资格、管理经验等资料，继任人员的资历应不低于原试验人员。试验室主任的更换，应按照第4.4.5项规定执行。</w:t>
      </w:r>
    </w:p>
    <w:p w14:paraId="69A41B8A">
      <w:pPr>
        <w:pStyle w:val="26"/>
        <w:ind w:firstLine="480"/>
        <w:rPr>
          <w:rFonts w:hint="default"/>
        </w:rPr>
      </w:pPr>
      <w:r>
        <w:t>4.5.2合同执行阶段主要试验检测人员包括：试验室主任、技术负责人、试验检测工程师。</w:t>
      </w:r>
    </w:p>
    <w:p w14:paraId="25988F7A">
      <w:pPr>
        <w:pStyle w:val="26"/>
        <w:ind w:firstLine="480"/>
        <w:rPr>
          <w:rFonts w:hint="default"/>
        </w:rPr>
      </w:pPr>
      <w:r>
        <w:t>其他人员包括：试验员、辅助人员等。</w:t>
      </w:r>
    </w:p>
    <w:p w14:paraId="4D5CE94C">
      <w:pPr>
        <w:pStyle w:val="26"/>
        <w:ind w:firstLine="480"/>
        <w:rPr>
          <w:rFonts w:hint="default"/>
        </w:rPr>
      </w:pPr>
      <w:r>
        <w:t>本款补充第4.5.5～4.5.9项：</w:t>
      </w:r>
    </w:p>
    <w:p w14:paraId="4764B230">
      <w:pPr>
        <w:pStyle w:val="26"/>
        <w:ind w:firstLine="480"/>
        <w:rPr>
          <w:rFonts w:hint="default"/>
        </w:rPr>
      </w:pPr>
      <w:r>
        <w:t>4.5.5 在监理试验室实施过程中要建立劳动出勤卡，并接受委托人的考核和监督。</w:t>
      </w:r>
    </w:p>
    <w:p w14:paraId="68428142">
      <w:pPr>
        <w:pStyle w:val="26"/>
        <w:ind w:firstLine="480"/>
        <w:rPr>
          <w:rFonts w:hint="default"/>
        </w:rPr>
      </w:pPr>
      <w:r>
        <w:t>4.5.6试验检测机构派驻到项目所在地履行监理试验室服务的各类检测人员必须保证每月不少于22天的出勤率(按日历日计算)，试验室主任、技术负责人离开工地必须向委托人代表请假并经书面同意。监理试验室在每期上报计量支付证书时应附当期考勤表，否则委托人有权按比例扣减试验检测人员的服务费。</w:t>
      </w:r>
    </w:p>
    <w:p w14:paraId="2E83973D">
      <w:pPr>
        <w:pStyle w:val="26"/>
        <w:ind w:firstLine="480"/>
        <w:rPr>
          <w:rFonts w:hint="default"/>
        </w:rPr>
      </w:pPr>
      <w:r>
        <w:t>4.5.7辅助工作人员</w:t>
      </w:r>
    </w:p>
    <w:p w14:paraId="2213C580">
      <w:pPr>
        <w:pStyle w:val="26"/>
        <w:ind w:firstLine="480"/>
        <w:rPr>
          <w:rFonts w:hint="default"/>
        </w:rPr>
      </w:pPr>
      <w:r>
        <w:t>辅助工作人员由试验检测机构自行聘用，为满足监理试验室工作需要的辅助人员的人数最低要求为文秘、管理员、炊事员、后勤员、驾驶员等，此费用包含在报价中，不单独列支。</w:t>
      </w:r>
    </w:p>
    <w:p w14:paraId="086D26EF">
      <w:pPr>
        <w:pStyle w:val="26"/>
        <w:ind w:firstLine="480"/>
        <w:rPr>
          <w:rFonts w:hint="default"/>
        </w:rPr>
      </w:pPr>
      <w:r>
        <w:t>4.5.8凡试验检测机构派驻进场试验检测人员必须与试验检测机构签订劳动合同。</w:t>
      </w:r>
    </w:p>
    <w:p w14:paraId="61AE2524">
      <w:pPr>
        <w:pStyle w:val="26"/>
        <w:ind w:firstLine="480"/>
        <w:rPr>
          <w:rFonts w:hint="default"/>
        </w:rPr>
      </w:pPr>
      <w:r>
        <w:t>4.5.9对监理试验室的考核</w:t>
      </w:r>
    </w:p>
    <w:p w14:paraId="4EB9B1A5">
      <w:pPr>
        <w:pStyle w:val="26"/>
        <w:ind w:firstLine="480"/>
        <w:rPr>
          <w:rFonts w:hint="default"/>
        </w:rPr>
      </w:pPr>
      <w:r>
        <w:t>（1）劳动考核制度：凡进场试验检测人员必须与试验检测机构签订劳动合同并交委托人备案。</w:t>
      </w:r>
    </w:p>
    <w:p w14:paraId="42DC00F3">
      <w:pPr>
        <w:pStyle w:val="26"/>
        <w:ind w:firstLine="480"/>
        <w:rPr>
          <w:rFonts w:hint="default"/>
        </w:rPr>
      </w:pPr>
      <w:r>
        <w:t>（2）信用评价制度：按交通运输厅川交函</w:t>
      </w:r>
      <w:r>
        <w:rPr>
          <w:rFonts w:ascii="微软雅黑" w:hAnsi="微软雅黑" w:eastAsia="微软雅黑" w:cs="微软雅黑"/>
        </w:rPr>
        <w:t>〔</w:t>
      </w:r>
      <w:r>
        <w:t>2016</w:t>
      </w:r>
      <w:r>
        <w:rPr>
          <w:rFonts w:ascii="微软雅黑" w:hAnsi="微软雅黑" w:eastAsia="微软雅黑" w:cs="微软雅黑"/>
        </w:rPr>
        <w:t>〕</w:t>
      </w:r>
      <w:r>
        <w:t>84号文要求进行信用评价，并定期向上级行政主管部门报告。</w:t>
      </w:r>
    </w:p>
    <w:p w14:paraId="495C7F7C">
      <w:pPr>
        <w:pStyle w:val="26"/>
        <w:ind w:firstLine="480"/>
        <w:rPr>
          <w:rFonts w:hint="default"/>
        </w:rPr>
      </w:pPr>
      <w:r>
        <w:t>（3）关于对监理试验室的具体考核办法由委托人另行制定。</w:t>
      </w:r>
    </w:p>
    <w:p w14:paraId="06593A2D">
      <w:pPr>
        <w:pStyle w:val="26"/>
        <w:ind w:firstLine="482"/>
        <w:rPr>
          <w:rFonts w:hint="default"/>
          <w:b/>
          <w:bCs/>
        </w:rPr>
      </w:pPr>
      <w:r>
        <w:rPr>
          <w:b/>
          <w:bCs/>
        </w:rPr>
        <w:t>4.7保障人员的合法权益</w:t>
      </w:r>
    </w:p>
    <w:p w14:paraId="782265A4">
      <w:pPr>
        <w:pStyle w:val="26"/>
        <w:ind w:firstLine="480"/>
        <w:rPr>
          <w:rFonts w:hint="default"/>
        </w:rPr>
      </w:pPr>
      <w:r>
        <w:t>第4.7.3项补充：</w:t>
      </w:r>
    </w:p>
    <w:p w14:paraId="58E277C7">
      <w:pPr>
        <w:pStyle w:val="26"/>
        <w:ind w:firstLine="480"/>
        <w:rPr>
          <w:rFonts w:hint="default"/>
        </w:rPr>
      </w:pPr>
      <w:r>
        <w:t>试验检测机构应按国家有关法律、法规、规章、规程的有关规定，为本项目监理试验室服务期内的在职试验检测人员缴纳养老保险、失业保险、医疗保险、住房公积金、工伤保险等，该费用计入监理试验室人员费中。</w:t>
      </w:r>
    </w:p>
    <w:p w14:paraId="6F6EE60F">
      <w:pPr>
        <w:pStyle w:val="26"/>
        <w:ind w:firstLine="482"/>
        <w:rPr>
          <w:rFonts w:hint="default"/>
          <w:b/>
          <w:bCs/>
        </w:rPr>
      </w:pPr>
      <w:r>
        <w:rPr>
          <w:b/>
          <w:bCs/>
        </w:rPr>
        <w:t xml:space="preserve">4.9党建工作要求 </w:t>
      </w:r>
    </w:p>
    <w:p w14:paraId="29825E0D">
      <w:pPr>
        <w:pStyle w:val="26"/>
        <w:ind w:firstLine="480"/>
        <w:rPr>
          <w:rFonts w:hint="default"/>
        </w:rPr>
      </w:pPr>
      <w:r>
        <w:t>本款最后补充：监理试验室完成党建工作所需费用包含在监理试验室服务费中，不单独报价。</w:t>
      </w:r>
    </w:p>
    <w:p w14:paraId="34D7869F">
      <w:pPr>
        <w:pStyle w:val="27"/>
        <w:rPr>
          <w:rFonts w:hint="default"/>
        </w:rPr>
      </w:pPr>
      <w:r>
        <w:t>5. 监理试验室要求</w:t>
      </w:r>
    </w:p>
    <w:p w14:paraId="52ADABE4">
      <w:pPr>
        <w:pStyle w:val="26"/>
        <w:ind w:firstLine="482"/>
        <w:rPr>
          <w:rFonts w:hint="default"/>
          <w:b/>
          <w:bCs/>
        </w:rPr>
      </w:pPr>
      <w:r>
        <w:rPr>
          <w:b/>
          <w:bCs/>
        </w:rPr>
        <w:t>5.1 监理试验室范围</w:t>
      </w:r>
    </w:p>
    <w:p w14:paraId="4DBE5229">
      <w:pPr>
        <w:pStyle w:val="26"/>
        <w:ind w:firstLine="480"/>
        <w:rPr>
          <w:rFonts w:hint="default"/>
        </w:rPr>
      </w:pPr>
      <w:r>
        <w:t>5.1.2 工程范围包括：同比选公告。</w:t>
      </w:r>
    </w:p>
    <w:p w14:paraId="77665244">
      <w:pPr>
        <w:pStyle w:val="26"/>
        <w:ind w:firstLine="480"/>
        <w:rPr>
          <w:rFonts w:hint="default"/>
        </w:rPr>
      </w:pPr>
      <w:r>
        <w:t>5.1.3 阶段范围包括：同比选公告。</w:t>
      </w:r>
    </w:p>
    <w:p w14:paraId="6FEA42AC">
      <w:pPr>
        <w:pStyle w:val="26"/>
        <w:ind w:firstLine="482"/>
        <w:rPr>
          <w:rFonts w:hint="default"/>
          <w:b/>
          <w:bCs/>
        </w:rPr>
      </w:pPr>
      <w:r>
        <w:rPr>
          <w:b/>
          <w:bCs/>
        </w:rPr>
        <w:t>5.2 监理试验室试验检测依据</w:t>
      </w:r>
    </w:p>
    <w:p w14:paraId="37CDD11F">
      <w:pPr>
        <w:pStyle w:val="26"/>
        <w:ind w:firstLine="480"/>
        <w:rPr>
          <w:rFonts w:hint="default"/>
        </w:rPr>
      </w:pPr>
      <w:r>
        <w:t>（新增）其它与本项目试验室检测相关的现行国家标准和行业规范，当有新颁布实施的规范、规程时，以新颁布的为准。</w:t>
      </w:r>
    </w:p>
    <w:p w14:paraId="5B30F6F2">
      <w:pPr>
        <w:pStyle w:val="26"/>
        <w:ind w:firstLine="482"/>
        <w:rPr>
          <w:rFonts w:hint="default"/>
          <w:b/>
          <w:bCs/>
        </w:rPr>
      </w:pPr>
      <w:r>
        <w:rPr>
          <w:b/>
          <w:bCs/>
        </w:rPr>
        <w:t>5.3 监理试验室试验检测内容</w:t>
      </w:r>
    </w:p>
    <w:p w14:paraId="4D694E29">
      <w:pPr>
        <w:pStyle w:val="26"/>
        <w:ind w:firstLine="480"/>
        <w:rPr>
          <w:rFonts w:hint="default"/>
        </w:rPr>
      </w:pPr>
      <w:r>
        <w:t>试验检测机构应按照《公路工程质量检验评定标准》及相关法律、法规开展监理试验室服务。按比选文件中的标准、规程、规范等规定的检查项目和抽检频率以及委托人的规定执行。</w:t>
      </w:r>
    </w:p>
    <w:p w14:paraId="61285456">
      <w:pPr>
        <w:pStyle w:val="26"/>
        <w:ind w:firstLine="482"/>
        <w:rPr>
          <w:rFonts w:hint="default"/>
          <w:b/>
          <w:bCs/>
        </w:rPr>
      </w:pPr>
      <w:bookmarkStart w:id="27" w:name="_Toc520709516"/>
      <w:bookmarkStart w:id="28" w:name="_Toc523921823"/>
      <w:r>
        <w:rPr>
          <w:b/>
          <w:bCs/>
        </w:rPr>
        <w:t>5.4监理试验室文件要求</w:t>
      </w:r>
      <w:bookmarkEnd w:id="27"/>
      <w:bookmarkEnd w:id="28"/>
    </w:p>
    <w:p w14:paraId="543E5F0A">
      <w:pPr>
        <w:pStyle w:val="26"/>
        <w:ind w:firstLine="480"/>
        <w:rPr>
          <w:rFonts w:hint="default"/>
        </w:rPr>
      </w:pPr>
      <w:r>
        <w:t>5.4.3本工程监理试验室文件还包括的其他管理文件：</w:t>
      </w:r>
    </w:p>
    <w:p w14:paraId="4182D232">
      <w:pPr>
        <w:pStyle w:val="26"/>
        <w:ind w:firstLine="480"/>
        <w:rPr>
          <w:rFonts w:hint="default"/>
        </w:rPr>
      </w:pPr>
      <w:r>
        <w:t>按照委托人要求制定相关文件，文件编制费用包含在报价中，不单独列支。</w:t>
      </w:r>
    </w:p>
    <w:p w14:paraId="793A0DF5">
      <w:pPr>
        <w:pStyle w:val="26"/>
        <w:ind w:firstLine="480"/>
        <w:rPr>
          <w:rFonts w:hint="default"/>
          <w:b/>
          <w:bCs/>
        </w:rPr>
      </w:pPr>
      <w:r>
        <w:t xml:space="preserve">  </w:t>
      </w:r>
      <w:r>
        <w:rPr>
          <w:b/>
          <w:bCs/>
        </w:rPr>
        <w:t>5.5 监理试验室服务形式</w:t>
      </w:r>
    </w:p>
    <w:p w14:paraId="5C021EB8">
      <w:pPr>
        <w:pStyle w:val="26"/>
        <w:ind w:firstLine="480"/>
        <w:rPr>
          <w:rFonts w:hint="default"/>
        </w:rPr>
      </w:pPr>
      <w:r>
        <w:t>监理试验室服务机构设置：设置一级监理试验室机构。</w:t>
      </w:r>
    </w:p>
    <w:p w14:paraId="5FE6F28D">
      <w:pPr>
        <w:pStyle w:val="26"/>
        <w:ind w:firstLine="482"/>
        <w:rPr>
          <w:rFonts w:hint="default"/>
          <w:b/>
          <w:bCs/>
        </w:rPr>
      </w:pPr>
      <w:r>
        <w:rPr>
          <w:b/>
          <w:bCs/>
        </w:rPr>
        <w:t>5.6 监理试验室试验检测服务目标</w:t>
      </w:r>
    </w:p>
    <w:p w14:paraId="558BAD76">
      <w:pPr>
        <w:pStyle w:val="26"/>
        <w:ind w:firstLine="480"/>
        <w:rPr>
          <w:rFonts w:hint="default"/>
        </w:rPr>
      </w:pPr>
      <w:r>
        <w:t>5.6.2 对承包人履约管理的服务目标：满足合同约定的服务内容和质量及安全要求。</w:t>
      </w:r>
    </w:p>
    <w:p w14:paraId="4E0B91A0">
      <w:pPr>
        <w:pStyle w:val="26"/>
        <w:ind w:firstLine="482"/>
        <w:rPr>
          <w:rFonts w:hint="default"/>
          <w:b/>
          <w:bCs/>
        </w:rPr>
      </w:pPr>
      <w:r>
        <w:rPr>
          <w:b/>
          <w:bCs/>
        </w:rPr>
        <w:t>5.7 委托人对监理试验室的授权</w:t>
      </w:r>
    </w:p>
    <w:p w14:paraId="63C978A1">
      <w:pPr>
        <w:pStyle w:val="26"/>
        <w:ind w:firstLine="480"/>
        <w:rPr>
          <w:rFonts w:hint="default"/>
        </w:rPr>
      </w:pPr>
      <w:r>
        <w:t xml:space="preserve">5.7.1 委托人对监理试验室的授权权限： </w:t>
      </w:r>
    </w:p>
    <w:p w14:paraId="26969BC0">
      <w:pPr>
        <w:pStyle w:val="26"/>
        <w:ind w:firstLine="480"/>
        <w:rPr>
          <w:rFonts w:hint="default"/>
        </w:rPr>
      </w:pPr>
      <w:r>
        <w:t>当承包人工地试验室与监理试验室的试验检测数据有矛盾时，应进行复查，复查仍有矛盾时，原则上以监理试验室的检测结果为准，委托人保留委托具有相同或更高资质的独立第三方进行平行抽检或验证试验的权利，仲裁试验所发生的费用由过错方承担。</w:t>
      </w:r>
    </w:p>
    <w:p w14:paraId="6A83C8E6">
      <w:pPr>
        <w:pStyle w:val="27"/>
        <w:rPr>
          <w:rFonts w:hint="default"/>
        </w:rPr>
      </w:pPr>
      <w:r>
        <w:t>6. 开始监理试验室试验和完成试验</w:t>
      </w:r>
    </w:p>
    <w:p w14:paraId="7171A7C0">
      <w:pPr>
        <w:pStyle w:val="26"/>
        <w:ind w:firstLine="482"/>
        <w:rPr>
          <w:rFonts w:hint="default"/>
          <w:b/>
          <w:bCs/>
        </w:rPr>
      </w:pPr>
      <w:r>
        <w:rPr>
          <w:b/>
          <w:bCs/>
        </w:rPr>
        <w:t>6.1 开始监理试验室试验</w:t>
      </w:r>
    </w:p>
    <w:p w14:paraId="251CF873">
      <w:pPr>
        <w:pStyle w:val="26"/>
        <w:ind w:firstLine="480"/>
      </w:pPr>
      <w:r>
        <w:t>6.1.1试验检测机构与委托人签订了合同协议书，项目</w:t>
      </w:r>
      <w:r>
        <w:rPr>
          <w:rFonts w:hint="eastAsia"/>
          <w:lang w:val="en-US" w:eastAsia="zh-CN"/>
        </w:rPr>
        <w:t>先期开工点</w:t>
      </w:r>
      <w:r>
        <w:t>施工图设计文件</w:t>
      </w:r>
      <w:r>
        <w:rPr>
          <w:rFonts w:hint="eastAsia"/>
          <w:lang w:val="en-US" w:eastAsia="zh-CN"/>
        </w:rPr>
        <w:t>批准</w:t>
      </w:r>
      <w:r>
        <w:t>后，试验检测机构应结合工程施工进程，合理安排监理试验室试验检测人员进出场，并在技术建议书中写明监理试验室人员的安排计划。同时委托人应向监理试验室发出开始试验通知。完成监理试验室服务的施工阶段时间和所检测项目的施工</w:t>
      </w:r>
      <w:r>
        <w:rPr>
          <w:rFonts w:hint="eastAsia"/>
          <w:lang w:val="en-US" w:eastAsia="zh-CN"/>
        </w:rPr>
        <w:t>现场完成进度</w:t>
      </w:r>
      <w:r>
        <w:t>相一致。监理试验室在合同协议书或补充协议书规定的期限已满，</w:t>
      </w:r>
      <w:r>
        <w:rPr>
          <w:rFonts w:hint="eastAsia"/>
        </w:rPr>
        <w:t>并实质上</w:t>
      </w:r>
      <w:r>
        <w:rPr>
          <w:rFonts w:hint="eastAsia"/>
          <w:lang w:val="en-US" w:eastAsia="zh-CN"/>
        </w:rPr>
        <w:t>按委托人要求</w:t>
      </w:r>
      <w:r>
        <w:rPr>
          <w:rFonts w:hint="eastAsia"/>
        </w:rPr>
        <w:t>办理</w:t>
      </w:r>
      <w:r>
        <w:rPr>
          <w:rFonts w:hint="eastAsia"/>
          <w:lang w:val="en-US" w:eastAsia="zh-CN"/>
        </w:rPr>
        <w:t>完相关手续</w:t>
      </w:r>
      <w:r>
        <w:rPr>
          <w:rFonts w:hint="eastAsia"/>
        </w:rPr>
        <w:t>后方可退场</w:t>
      </w:r>
      <w:r>
        <w:rPr>
          <w:rFonts w:hint="eastAsia"/>
          <w:lang w:eastAsia="zh-CN"/>
        </w:rPr>
        <w:t>。</w:t>
      </w:r>
    </w:p>
    <w:p w14:paraId="68DAD812">
      <w:pPr>
        <w:pStyle w:val="26"/>
        <w:ind w:firstLine="480"/>
        <w:rPr>
          <w:rFonts w:hint="default"/>
        </w:rPr>
      </w:pPr>
      <w:r>
        <w:t>6.1.2 修改为：因委托人原因造成合同签订之日起90 天内未能发出开始检测通知的，监理试验室不得提出价格调整，或者解除合同的要求。</w:t>
      </w:r>
    </w:p>
    <w:p w14:paraId="55B97EF6">
      <w:pPr>
        <w:pStyle w:val="26"/>
        <w:ind w:firstLine="482"/>
        <w:rPr>
          <w:rFonts w:hint="default"/>
          <w:b/>
          <w:bCs/>
        </w:rPr>
      </w:pPr>
      <w:r>
        <w:rPr>
          <w:b/>
          <w:bCs/>
        </w:rPr>
        <w:t>6.2监理试验室周期延期</w:t>
      </w:r>
    </w:p>
    <w:p w14:paraId="7694CC2F">
      <w:pPr>
        <w:pStyle w:val="26"/>
        <w:ind w:firstLine="480"/>
        <w:rPr>
          <w:rFonts w:hint="default"/>
        </w:rPr>
      </w:pPr>
      <w:r>
        <w:t>由于非监理试验室责任造成服务周期延误的，延长服务期限的计算方法：具体服务期限由委托人核定根据施工进展情况同期进行，费用按照增加的服务费用计算（增加服务费用的计算按照项目专用条款第8.1.1项执行）。</w:t>
      </w:r>
    </w:p>
    <w:p w14:paraId="15D6B443">
      <w:pPr>
        <w:pStyle w:val="26"/>
        <w:ind w:firstLine="482"/>
        <w:rPr>
          <w:rFonts w:hint="default"/>
          <w:b/>
          <w:bCs/>
        </w:rPr>
      </w:pPr>
      <w:r>
        <w:rPr>
          <w:b/>
          <w:bCs/>
        </w:rPr>
        <w:t>6.3完成试验</w:t>
      </w:r>
    </w:p>
    <w:p w14:paraId="6070F2E7">
      <w:pPr>
        <w:pStyle w:val="26"/>
        <w:ind w:firstLine="480"/>
        <w:rPr>
          <w:rFonts w:hint="default"/>
        </w:rPr>
      </w:pPr>
      <w:r>
        <w:t>本款补充第6.3.5项</w:t>
      </w:r>
    </w:p>
    <w:p w14:paraId="015D72C5">
      <w:pPr>
        <w:pStyle w:val="26"/>
        <w:ind w:firstLine="480"/>
        <w:rPr>
          <w:rFonts w:hint="default"/>
        </w:rPr>
      </w:pPr>
      <w:r>
        <w:t>完成监理试验室试验检测施工期服务的时间和所试验项目的施工</w:t>
      </w:r>
      <w:r>
        <w:rPr>
          <w:rFonts w:hint="eastAsia"/>
          <w:lang w:val="en-US" w:eastAsia="zh-CN"/>
        </w:rPr>
        <w:t>完成时间</w:t>
      </w:r>
      <w:r>
        <w:t>相一致。</w:t>
      </w:r>
    </w:p>
    <w:p w14:paraId="69393CC4">
      <w:pPr>
        <w:pStyle w:val="27"/>
        <w:rPr>
          <w:rFonts w:hint="default"/>
        </w:rPr>
      </w:pPr>
      <w:r>
        <w:t>7. 监理试验室责任与保险</w:t>
      </w:r>
    </w:p>
    <w:p w14:paraId="0BD0EA25">
      <w:pPr>
        <w:pStyle w:val="26"/>
        <w:ind w:firstLine="482"/>
        <w:rPr>
          <w:rFonts w:hint="default"/>
          <w:b/>
          <w:bCs/>
        </w:rPr>
      </w:pPr>
      <w:bookmarkStart w:id="29" w:name="_Toc523921832"/>
      <w:bookmarkStart w:id="30" w:name="_Toc520709525"/>
      <w:r>
        <w:rPr>
          <w:b/>
          <w:bCs/>
        </w:rPr>
        <w:t>7.1监理试验室责任主体</w:t>
      </w:r>
      <w:bookmarkEnd w:id="29"/>
      <w:bookmarkEnd w:id="30"/>
    </w:p>
    <w:p w14:paraId="7635FF6A">
      <w:pPr>
        <w:pStyle w:val="26"/>
        <w:ind w:firstLine="480"/>
        <w:rPr>
          <w:rFonts w:hint="default"/>
        </w:rPr>
      </w:pPr>
      <w:r>
        <w:t>第7.1.4项细化为：</w:t>
      </w:r>
    </w:p>
    <w:p w14:paraId="4293A89B">
      <w:pPr>
        <w:pStyle w:val="26"/>
        <w:ind w:firstLine="480"/>
        <w:rPr>
          <w:rFonts w:hint="default"/>
        </w:rPr>
      </w:pPr>
      <w:r>
        <w:t>（1）监理试验室按照交通运输部《工地试验室标准化建设要点》（厅质监字〔2012〕200号）、《四川省高速公路工地标准化建设指导意见》（川交函〔2011〕98号）建设标准化工地试验室。经委托人初审后报送项目质监机构登记备案，并取得质监机构“公路水运工程工地试验室备案通知书”。</w:t>
      </w:r>
    </w:p>
    <w:p w14:paraId="66978348">
      <w:pPr>
        <w:pStyle w:val="26"/>
        <w:ind w:firstLine="480"/>
        <w:rPr>
          <w:rFonts w:hint="default"/>
        </w:rPr>
      </w:pPr>
      <w:r>
        <w:t>（2）监理试验室应取得试验检测机构授权。授权内容应包括监理试验室可开展的试验检测项目及参数、授权负责人、授权工地试验室的公章、授权期限等。</w:t>
      </w:r>
    </w:p>
    <w:p w14:paraId="013609EE">
      <w:pPr>
        <w:pStyle w:val="26"/>
        <w:ind w:firstLine="480"/>
        <w:rPr>
          <w:rFonts w:hint="default"/>
        </w:rPr>
      </w:pPr>
      <w:r>
        <w:t>（3）监理试验室在总监办的监督和管理下负责合同范围内的试验抽检工作：对施工过程中使用的主要原材料及混合料抽检频率按批次应不低于施工检验频率的10%；对分项工程中的关键项目（含桩基检测）和结构主要尺寸的抽检频率应不低于规定施工检验频率的20%。</w:t>
      </w:r>
    </w:p>
    <w:p w14:paraId="43CEC322">
      <w:pPr>
        <w:pStyle w:val="26"/>
        <w:ind w:firstLine="480"/>
        <w:rPr>
          <w:rFonts w:hint="default"/>
        </w:rPr>
      </w:pPr>
      <w:r>
        <w:t>当监理工程师对工程材料或实体质量有疑问时，也应进行抽检（该项抽检的频率不受上述抽检频率比例的限定）；对承包人外部采购和委托制作的主要工程构配件或设备，监理工程师应核查产品合格证明文件和承包人自检报告，进场后对关键项目进行抽检，验收合格后方可使用，对在施工现场不具备检测条件的，监理工程师应按合同约定到厂监督检验。监理试验室负责委托人、上级主管部门质量检查时要求的本标段范围内有关试验检测，以确保工程质量完全处于受控状态，并负有检查、监督、帮助和指导承包人工地试验室工作的义务，监理试验室应派人员参加承包人外委试验检测的送样工作。监理工程师有责任和义务配合监理试验室完成抽检工作，并应根据承包人的施工计划及工程进展情况及时通知监理试验室进行现场抽检。</w:t>
      </w:r>
    </w:p>
    <w:p w14:paraId="3261B846">
      <w:pPr>
        <w:pStyle w:val="26"/>
        <w:ind w:firstLine="482"/>
        <w:rPr>
          <w:rFonts w:hint="default"/>
          <w:b/>
          <w:bCs/>
        </w:rPr>
      </w:pPr>
      <w:r>
        <w:rPr>
          <w:b/>
          <w:bCs/>
        </w:rPr>
        <w:t>7.3 人员和设备保险</w:t>
      </w:r>
    </w:p>
    <w:p w14:paraId="07FF043D">
      <w:pPr>
        <w:pStyle w:val="26"/>
        <w:ind w:firstLine="480"/>
        <w:rPr>
          <w:rFonts w:hint="default"/>
        </w:rPr>
      </w:pPr>
      <w:r>
        <w:t>本条款细化：</w:t>
      </w:r>
    </w:p>
    <w:p w14:paraId="24002615">
      <w:pPr>
        <w:pStyle w:val="26"/>
        <w:ind w:firstLine="480"/>
        <w:rPr>
          <w:rFonts w:hint="default"/>
        </w:rPr>
      </w:pPr>
      <w:r>
        <w:t>监理试验室为其派驻到工程所在地监理试验室人员的人身（包括人身意外险等）和自备财产的有关保险费列入监理试验室服务费用报价中。保险时间应随服务时间的延长而顺延，并在出险后自行办理索赔。如果监理试验室不办理上述保险，则应对有关风险及后果自负其责。</w:t>
      </w:r>
    </w:p>
    <w:p w14:paraId="54B06719">
      <w:pPr>
        <w:pStyle w:val="27"/>
        <w:rPr>
          <w:rFonts w:hint="default"/>
        </w:rPr>
      </w:pPr>
      <w:r>
        <w:t>8. 合同变更</w:t>
      </w:r>
    </w:p>
    <w:p w14:paraId="2E54F570">
      <w:pPr>
        <w:pStyle w:val="26"/>
        <w:ind w:firstLine="482"/>
        <w:rPr>
          <w:rFonts w:hint="default"/>
          <w:b/>
          <w:bCs/>
        </w:rPr>
      </w:pPr>
      <w:r>
        <w:rPr>
          <w:b/>
          <w:bCs/>
        </w:rPr>
        <w:t>8.1 变更情形</w:t>
      </w:r>
    </w:p>
    <w:p w14:paraId="48D98718">
      <w:pPr>
        <w:pStyle w:val="26"/>
        <w:ind w:firstLine="480"/>
        <w:rPr>
          <w:rFonts w:hint="default"/>
        </w:rPr>
      </w:pPr>
      <w:r>
        <w:t>8.1.1 合同变更时，监理试验室试验检测服务期限的调整方法：同第6.2款；监理试验室服务费用的调整方法如下：</w:t>
      </w:r>
    </w:p>
    <w:p w14:paraId="307239F2">
      <w:pPr>
        <w:pStyle w:val="26"/>
        <w:ind w:firstLine="480"/>
        <w:rPr>
          <w:rFonts w:hint="default"/>
        </w:rPr>
      </w:pPr>
      <w:r>
        <w:t>（1）监理试验室人员服务费=增加的服务人日数×（《监理试验室人员服务费表》中施工期监理试验室人员服务费用人月单价÷21.75日）计算。</w:t>
      </w:r>
    </w:p>
    <w:p w14:paraId="3D2E1282">
      <w:pPr>
        <w:pStyle w:val="26"/>
        <w:ind w:firstLine="480"/>
        <w:rPr>
          <w:rFonts w:hint="default"/>
        </w:rPr>
      </w:pPr>
      <w:r>
        <w:t>（2）本项目除了监理试验室人员服务费的其余所有费用均不因项目延期给予调整。</w:t>
      </w:r>
    </w:p>
    <w:p w14:paraId="6D3F90CD">
      <w:pPr>
        <w:pStyle w:val="26"/>
        <w:ind w:firstLine="482"/>
        <w:rPr>
          <w:rFonts w:hint="default"/>
          <w:b/>
          <w:bCs/>
        </w:rPr>
      </w:pPr>
      <w:r>
        <w:rPr>
          <w:b/>
          <w:bCs/>
        </w:rPr>
        <w:t>8.2 合理化建议</w:t>
      </w:r>
    </w:p>
    <w:p w14:paraId="21B7847B">
      <w:pPr>
        <w:pStyle w:val="26"/>
        <w:ind w:firstLine="480"/>
        <w:rPr>
          <w:rFonts w:hint="default"/>
        </w:rPr>
      </w:pPr>
      <w:r>
        <w:t>8.2.2监理试验室提出的合理化建议降低了工程投资、缩短了施工期限或者提高了工程经济效益的，委托人原则上不单独给予奖励。</w:t>
      </w:r>
    </w:p>
    <w:p w14:paraId="6BA70AB4">
      <w:pPr>
        <w:pStyle w:val="27"/>
        <w:rPr>
          <w:rFonts w:hint="default"/>
        </w:rPr>
      </w:pPr>
      <w:r>
        <w:t>9. 合同价格与支付</w:t>
      </w:r>
    </w:p>
    <w:p w14:paraId="707B5B1F">
      <w:pPr>
        <w:pStyle w:val="26"/>
        <w:ind w:firstLine="482"/>
        <w:rPr>
          <w:rFonts w:hint="default"/>
          <w:b/>
          <w:bCs/>
        </w:rPr>
      </w:pPr>
      <w:r>
        <w:rPr>
          <w:b/>
          <w:bCs/>
        </w:rPr>
        <w:t>9.1 合同价格</w:t>
      </w:r>
    </w:p>
    <w:p w14:paraId="7F1361C4">
      <w:pPr>
        <w:pStyle w:val="26"/>
        <w:ind w:firstLine="480"/>
        <w:rPr>
          <w:rFonts w:hint="default"/>
        </w:rPr>
      </w:pPr>
      <w:r>
        <w:t>9.1.1 本合同的报价方式：总价</w:t>
      </w:r>
      <w:r>
        <w:rPr>
          <w:rFonts w:hint="eastAsia"/>
          <w:lang w:eastAsia="zh-CN"/>
        </w:rPr>
        <w:t>（</w:t>
      </w:r>
      <w:r>
        <w:rPr>
          <w:rFonts w:hint="eastAsia"/>
          <w:lang w:val="en-US" w:eastAsia="zh-CN"/>
        </w:rPr>
        <w:t>含税</w:t>
      </w:r>
      <w:r>
        <w:rPr>
          <w:rFonts w:hint="eastAsia"/>
          <w:lang w:eastAsia="zh-CN"/>
        </w:rPr>
        <w:t>）</w:t>
      </w:r>
      <w:r>
        <w:t>。</w:t>
      </w:r>
    </w:p>
    <w:p w14:paraId="0970E3DE">
      <w:pPr>
        <w:pStyle w:val="26"/>
        <w:ind w:firstLine="480"/>
      </w:pPr>
      <w:r>
        <w:t>在合同实施期间，由于人工、材料、设备等因素的市场价格变化导致本项目监理试验室服务费用变化对试验成本的影响，试验检测机构在编比选申请文件时计入相关服务费中，合同执行期间不再调整，风险自负。</w:t>
      </w:r>
    </w:p>
    <w:p w14:paraId="4145C911">
      <w:pPr>
        <w:pStyle w:val="26"/>
        <w:ind w:firstLine="480"/>
        <w:rPr>
          <w:rFonts w:hint="default" w:eastAsia="宋体"/>
          <w:lang w:val="en-US" w:eastAsia="zh-CN"/>
        </w:rPr>
      </w:pPr>
      <w:r>
        <w:rPr>
          <w:rFonts w:hint="eastAsia"/>
          <w:lang w:val="en-US" w:eastAsia="zh-CN"/>
        </w:rPr>
        <w:t>本款补充：委托人支付试验检测机构费用前，试验检测机构应提供合规的增值税专用发票，否则委托人有权拒绝付款且不被视为违约，由此产生的全部责任与损失由试验检测机构自行承担。</w:t>
      </w:r>
    </w:p>
    <w:p w14:paraId="2E100914">
      <w:pPr>
        <w:pStyle w:val="26"/>
        <w:ind w:firstLine="482"/>
        <w:rPr>
          <w:rFonts w:hint="default"/>
          <w:b/>
          <w:bCs/>
        </w:rPr>
      </w:pPr>
      <w:r>
        <w:rPr>
          <w:b/>
          <w:bCs/>
        </w:rPr>
        <w:t>9.2 预付款</w:t>
      </w:r>
    </w:p>
    <w:p w14:paraId="7326E4DF">
      <w:pPr>
        <w:pStyle w:val="26"/>
        <w:ind w:firstLine="480"/>
        <w:rPr>
          <w:rFonts w:hint="default"/>
        </w:rPr>
      </w:pPr>
      <w:r>
        <w:t>本款不适用。</w:t>
      </w:r>
    </w:p>
    <w:p w14:paraId="3C6A6129">
      <w:pPr>
        <w:pStyle w:val="26"/>
        <w:ind w:firstLine="482"/>
        <w:rPr>
          <w:rFonts w:hint="default"/>
          <w:b/>
          <w:bCs/>
        </w:rPr>
      </w:pPr>
      <w:r>
        <w:rPr>
          <w:b/>
          <w:bCs/>
        </w:rPr>
        <w:t>9.3 中期支付</w:t>
      </w:r>
    </w:p>
    <w:p w14:paraId="04288C65">
      <w:pPr>
        <w:pStyle w:val="26"/>
        <w:ind w:firstLine="480"/>
        <w:rPr>
          <w:rFonts w:hint="default"/>
        </w:rPr>
      </w:pPr>
      <w:r>
        <w:t>9.3.2中期支付原则</w:t>
      </w:r>
    </w:p>
    <w:p w14:paraId="4E228EE3">
      <w:pPr>
        <w:pStyle w:val="26"/>
        <w:ind w:firstLine="480"/>
        <w:rPr>
          <w:rFonts w:hint="eastAsia"/>
          <w:color w:val="auto"/>
        </w:rPr>
      </w:pPr>
      <w:r>
        <w:rPr>
          <w:color w:val="auto"/>
        </w:rPr>
        <w:t>本条款修改为：</w:t>
      </w:r>
      <w:r>
        <w:rPr>
          <w:rFonts w:hint="eastAsia"/>
          <w:color w:val="auto"/>
        </w:rPr>
        <w:t>本项目采用</w:t>
      </w:r>
      <w:r>
        <w:rPr>
          <w:rFonts w:hint="eastAsia"/>
          <w:color w:val="auto"/>
          <w:lang w:val="en-US" w:eastAsia="zh-CN"/>
        </w:rPr>
        <w:t>检测</w:t>
      </w:r>
      <w:r>
        <w:rPr>
          <w:rFonts w:hint="eastAsia"/>
          <w:color w:val="auto"/>
        </w:rPr>
        <w:t>责任、单价合同，</w:t>
      </w:r>
      <w:r>
        <w:rPr>
          <w:rFonts w:hint="eastAsia"/>
          <w:color w:val="auto"/>
          <w:lang w:val="en-US" w:eastAsia="zh-CN"/>
        </w:rPr>
        <w:t>完成合同规定内容后</w:t>
      </w:r>
      <w:r>
        <w:rPr>
          <w:rFonts w:hint="eastAsia"/>
          <w:color w:val="auto"/>
        </w:rPr>
        <w:t>据实支付。</w:t>
      </w:r>
    </w:p>
    <w:p w14:paraId="03B9E646">
      <w:pPr>
        <w:pStyle w:val="26"/>
        <w:ind w:firstLine="480"/>
        <w:rPr>
          <w:rFonts w:hint="default" w:eastAsia="宋体"/>
          <w:color w:val="auto"/>
          <w:lang w:val="en-US" w:eastAsia="zh-CN"/>
        </w:rPr>
      </w:pPr>
      <w:r>
        <w:rPr>
          <w:rFonts w:hint="eastAsia"/>
          <w:color w:val="auto"/>
        </w:rPr>
        <w:t>监理</w:t>
      </w:r>
      <w:r>
        <w:rPr>
          <w:rFonts w:hint="eastAsia"/>
          <w:color w:val="auto"/>
          <w:lang w:val="en-US" w:eastAsia="zh-CN"/>
        </w:rPr>
        <w:t>试验室</w:t>
      </w:r>
      <w:r>
        <w:rPr>
          <w:rFonts w:hint="eastAsia"/>
          <w:color w:val="auto"/>
        </w:rPr>
        <w:t>人员服务费=∑（各岗位服务人数*实际服务时间*工资）</w:t>
      </w:r>
      <w:r>
        <w:rPr>
          <w:rFonts w:hint="eastAsia"/>
          <w:color w:val="auto"/>
          <w:lang w:eastAsia="zh-CN"/>
        </w:rPr>
        <w:t>，</w:t>
      </w:r>
      <w:r>
        <w:rPr>
          <w:rFonts w:hint="eastAsia"/>
          <w:color w:val="auto"/>
          <w:lang w:val="en-US" w:eastAsia="zh-CN"/>
        </w:rPr>
        <w:t>其中：</w:t>
      </w:r>
    </w:p>
    <w:p w14:paraId="4601B7CB">
      <w:pPr>
        <w:pStyle w:val="26"/>
        <w:ind w:firstLine="480"/>
        <w:rPr>
          <w:rFonts w:hint="eastAsia"/>
          <w:color w:val="auto"/>
        </w:rPr>
      </w:pPr>
      <w:r>
        <w:rPr>
          <w:rFonts w:hint="eastAsia"/>
          <w:color w:val="auto"/>
        </w:rPr>
        <w:t>工资为《监理</w:t>
      </w:r>
      <w:r>
        <w:rPr>
          <w:rFonts w:hint="eastAsia"/>
          <w:color w:val="auto"/>
          <w:lang w:val="en-US" w:eastAsia="zh-CN"/>
        </w:rPr>
        <w:t>试验室</w:t>
      </w:r>
      <w:r>
        <w:rPr>
          <w:rFonts w:hint="eastAsia"/>
          <w:color w:val="auto"/>
        </w:rPr>
        <w:t>主要人员服务费报价明细表》中工资单价。各岗位服务人数、实际服务时间以</w:t>
      </w:r>
      <w:r>
        <w:rPr>
          <w:rFonts w:hint="eastAsia"/>
          <w:color w:val="auto"/>
          <w:lang w:val="en-US" w:eastAsia="zh-CN"/>
        </w:rPr>
        <w:t>监理试验室人员进</w:t>
      </w:r>
      <w:r>
        <w:rPr>
          <w:rFonts w:hint="eastAsia"/>
          <w:color w:val="auto"/>
        </w:rPr>
        <w:t>出场时间及考勤为准。</w:t>
      </w:r>
    </w:p>
    <w:p w14:paraId="07F51B19">
      <w:pPr>
        <w:pStyle w:val="26"/>
        <w:ind w:firstLine="480"/>
        <w:rPr>
          <w:rFonts w:hint="eastAsia"/>
          <w:color w:val="auto"/>
        </w:rPr>
      </w:pPr>
      <w:r>
        <w:rPr>
          <w:rFonts w:hint="eastAsia"/>
          <w:color w:val="auto"/>
        </w:rPr>
        <w:t>监理</w:t>
      </w:r>
      <w:r>
        <w:rPr>
          <w:rFonts w:hint="eastAsia"/>
          <w:color w:val="auto"/>
          <w:lang w:val="en-US" w:eastAsia="zh-CN"/>
        </w:rPr>
        <w:t>试验室</w:t>
      </w:r>
      <w:r>
        <w:rPr>
          <w:rFonts w:hint="eastAsia"/>
          <w:color w:val="auto"/>
        </w:rPr>
        <w:t>办公设施=实际服务时间*单价</w:t>
      </w:r>
    </w:p>
    <w:p w14:paraId="251A3753">
      <w:pPr>
        <w:pStyle w:val="26"/>
        <w:ind w:firstLine="480"/>
        <w:rPr>
          <w:rFonts w:hint="eastAsia"/>
          <w:color w:val="auto"/>
        </w:rPr>
      </w:pPr>
      <w:r>
        <w:rPr>
          <w:rFonts w:hint="eastAsia"/>
          <w:color w:val="auto"/>
        </w:rPr>
        <w:t>监理</w:t>
      </w:r>
      <w:r>
        <w:rPr>
          <w:rFonts w:hint="eastAsia"/>
          <w:color w:val="auto"/>
          <w:lang w:val="en-US" w:eastAsia="zh-CN"/>
        </w:rPr>
        <w:t>试验室</w:t>
      </w:r>
      <w:r>
        <w:rPr>
          <w:rFonts w:hint="eastAsia"/>
          <w:color w:val="auto"/>
        </w:rPr>
        <w:t>生活设施=实际服务时间*单价</w:t>
      </w:r>
    </w:p>
    <w:p w14:paraId="1319075B">
      <w:pPr>
        <w:pStyle w:val="26"/>
        <w:ind w:firstLine="480"/>
        <w:rPr>
          <w:rFonts w:hint="eastAsia"/>
          <w:color w:val="auto"/>
        </w:rPr>
      </w:pPr>
      <w:r>
        <w:rPr>
          <w:rFonts w:hint="eastAsia"/>
          <w:color w:val="auto"/>
        </w:rPr>
        <w:t>监理</w:t>
      </w:r>
      <w:r>
        <w:rPr>
          <w:rFonts w:hint="eastAsia"/>
          <w:color w:val="auto"/>
          <w:lang w:val="en-US" w:eastAsia="zh-CN"/>
        </w:rPr>
        <w:t>试验室</w:t>
      </w:r>
      <w:r>
        <w:rPr>
          <w:rFonts w:hint="eastAsia"/>
          <w:color w:val="auto"/>
        </w:rPr>
        <w:t>交通设施费=实际服务时间*单价</w:t>
      </w:r>
    </w:p>
    <w:p w14:paraId="18472D15">
      <w:pPr>
        <w:pStyle w:val="26"/>
        <w:ind w:firstLine="480"/>
        <w:rPr>
          <w:rFonts w:hint="eastAsia" w:eastAsia="宋体"/>
          <w:color w:val="auto"/>
          <w:lang w:eastAsia="zh-CN"/>
        </w:rPr>
      </w:pPr>
      <w:r>
        <w:rPr>
          <w:rFonts w:hint="eastAsia"/>
          <w:color w:val="auto"/>
        </w:rPr>
        <w:t>单价为《监理</w:t>
      </w:r>
      <w:r>
        <w:rPr>
          <w:rFonts w:hint="eastAsia"/>
          <w:color w:val="auto"/>
          <w:lang w:val="en-US" w:eastAsia="zh-CN"/>
        </w:rPr>
        <w:t>试验室</w:t>
      </w:r>
      <w:r>
        <w:rPr>
          <w:rFonts w:hint="eastAsia"/>
          <w:color w:val="auto"/>
        </w:rPr>
        <w:t>办公设施、生活设施、交通设施费报价明细表》中单价</w:t>
      </w:r>
      <w:r>
        <w:rPr>
          <w:rFonts w:hint="eastAsia"/>
          <w:color w:val="auto"/>
          <w:lang w:eastAsia="zh-CN"/>
        </w:rPr>
        <w:t>。</w:t>
      </w:r>
    </w:p>
    <w:p w14:paraId="07364602">
      <w:pPr>
        <w:pStyle w:val="26"/>
        <w:ind w:firstLine="480"/>
        <w:rPr>
          <w:rFonts w:hint="default"/>
        </w:rPr>
      </w:pPr>
      <w:r>
        <w:t>9.3.7延期服务费</w:t>
      </w:r>
    </w:p>
    <w:p w14:paraId="3A9463E7">
      <w:pPr>
        <w:pStyle w:val="26"/>
        <w:ind w:firstLine="480"/>
      </w:pPr>
      <w:r>
        <w:t>延期服务费根据第8.1款约定按月据实计算支付。</w:t>
      </w:r>
    </w:p>
    <w:p w14:paraId="3180B7E1">
      <w:pPr>
        <w:pStyle w:val="27"/>
        <w:rPr>
          <w:rFonts w:hint="default"/>
        </w:rPr>
      </w:pPr>
      <w:r>
        <w:t>11. 违约</w:t>
      </w:r>
    </w:p>
    <w:p w14:paraId="1798BB22">
      <w:pPr>
        <w:pStyle w:val="26"/>
        <w:ind w:firstLine="482"/>
        <w:rPr>
          <w:rFonts w:hint="default"/>
          <w:b/>
          <w:bCs/>
        </w:rPr>
      </w:pPr>
      <w:r>
        <w:rPr>
          <w:b/>
          <w:bCs/>
        </w:rPr>
        <w:t>11.1 监理试验室违约</w:t>
      </w:r>
    </w:p>
    <w:p w14:paraId="48FD4171">
      <w:pPr>
        <w:pStyle w:val="26"/>
        <w:ind w:firstLine="480"/>
        <w:rPr>
          <w:rFonts w:hint="default"/>
        </w:rPr>
      </w:pPr>
      <w:r>
        <w:t>11.1.1监理试验室的违约情形</w:t>
      </w:r>
    </w:p>
    <w:p w14:paraId="2B9896D7">
      <w:pPr>
        <w:pStyle w:val="26"/>
        <w:ind w:firstLine="480"/>
        <w:rPr>
          <w:rFonts w:hint="default"/>
        </w:rPr>
      </w:pPr>
      <w:r>
        <w:t>第（3）目后面补充：</w:t>
      </w:r>
    </w:p>
    <w:p w14:paraId="17C66529">
      <w:pPr>
        <w:pStyle w:val="26"/>
        <w:ind w:firstLine="480"/>
        <w:rPr>
          <w:rFonts w:hint="default"/>
        </w:rPr>
      </w:pPr>
      <w:r>
        <w:t>在试验检测机构的监理试验室试验检测过程中，由于监理试验室的试验检测工作不及时，数据缺乏科学真实性，给工程造成损失或损害的，监理试验室承担相应责任，委托人有权考虑延期计量，情节严重的追究违约责任并上报交通行政主管部门，按《四川省重点公路建设从业单位信用管理办法》相关规定处理。</w:t>
      </w:r>
    </w:p>
    <w:p w14:paraId="49DF0AF5">
      <w:pPr>
        <w:pStyle w:val="26"/>
        <w:ind w:firstLine="480"/>
        <w:rPr>
          <w:rFonts w:hint="default"/>
        </w:rPr>
      </w:pPr>
      <w:r>
        <w:t>第（4）目后面补充：</w:t>
      </w:r>
    </w:p>
    <w:p w14:paraId="37A2D7E5">
      <w:pPr>
        <w:pStyle w:val="26"/>
        <w:ind w:firstLine="480"/>
        <w:rPr>
          <w:rFonts w:hint="default"/>
        </w:rPr>
      </w:pPr>
      <w:r>
        <w:t>A.当委托人发现试验检测人员有意弄虚作假者，或和承包人有关人员互相勾结，在工程材料、工程质量、工程投资等方面给委托人造成损失或产生不良影响者，或在施工期间玩忽职守，不负责任，对质量问题视而不见，以合格工程签字验收的，委托人将驱逐相关试验检测人员出场, 并课以违约金，其中试验室主任及技术负责人按每驱逐一人次课以2万元违约金，试验检测工程师按每驱逐一人次课以1万元违约金，试验员按每驱逐一人次课以0.1万元违约金。</w:t>
      </w:r>
    </w:p>
    <w:p w14:paraId="6AD020EE">
      <w:pPr>
        <w:pStyle w:val="26"/>
        <w:ind w:firstLine="480"/>
        <w:rPr>
          <w:rFonts w:hint="default"/>
        </w:rPr>
      </w:pPr>
      <w:r>
        <w:t>B. 监理试验室人员忽视安全管理，造成安全隐患，情节严重，但未造成事故的，对试验室主任课以2万元违约金，对试验室技术负责人课以1万元违约金。当试验不当造成重大安全事故时，按国家有关规定追究其法律责任。</w:t>
      </w:r>
    </w:p>
    <w:p w14:paraId="2C4F58CA">
      <w:pPr>
        <w:pStyle w:val="26"/>
        <w:ind w:firstLine="480"/>
        <w:rPr>
          <w:rFonts w:hint="default"/>
        </w:rPr>
      </w:pPr>
      <w:r>
        <w:t>C. 监理试验室忽视环境保护，造成不良后果，情节严重的，对监理试验室课以1万元违约金，当试验不当造成重大环保事故时，按国家有关规定追究其法律责任，并课以5万元违约金。第（6）目后补充：</w:t>
      </w:r>
    </w:p>
    <w:p w14:paraId="73AE0D29">
      <w:pPr>
        <w:pStyle w:val="26"/>
        <w:ind w:firstLine="480"/>
        <w:rPr>
          <w:rFonts w:hint="default"/>
        </w:rPr>
      </w:pPr>
      <w:r>
        <w:fldChar w:fldCharType="begin"/>
      </w:r>
      <w:r>
        <w:instrText xml:space="preserve">= 1 \* GB3</w:instrText>
      </w:r>
      <w:r>
        <w:fldChar w:fldCharType="separate"/>
      </w:r>
      <w:r>
        <w:t>①</w:t>
      </w:r>
      <w:r>
        <w:fldChar w:fldCharType="end"/>
      </w:r>
      <w:r>
        <w:t>监理试验室派驻到现场的主要试验检测人员应为合同文件所报的主要人员，如因监理试验室的原因（除不可抗拒因素外），更换主要人员（试验室主任或技术负责人、试验检测工程师）需报请委托人批准，所更换人员资格要求不得低于比选申请文件中的人员要求，并不免除其违约责任，按以下相关规定课以违约金：</w:t>
      </w:r>
    </w:p>
    <w:p w14:paraId="18CE61C0">
      <w:pPr>
        <w:pStyle w:val="26"/>
        <w:ind w:firstLine="480"/>
        <w:rPr>
          <w:rFonts w:hint="default"/>
        </w:rPr>
      </w:pPr>
      <w:r>
        <w:t>A.如监理试验室未经委托人同意的，擅自更换试验室主任和技术负责人，对监理试验室按每人次课以2万元违约金；更换试验检测工程师对监理试验室按每人次课以1万元违约金；</w:t>
      </w:r>
    </w:p>
    <w:p w14:paraId="6B037D18">
      <w:pPr>
        <w:pStyle w:val="26"/>
        <w:ind w:firstLine="480"/>
        <w:rPr>
          <w:rFonts w:hint="default"/>
        </w:rPr>
      </w:pPr>
      <w:r>
        <w:t>B.由监理试验室提出，经委托人同意，更换试验室主任和技术负责人，对监理试验室按每人次课以1万元违约金；更换试验检测工程师对监理试验室按每人次课以0.5万元违约金；</w:t>
      </w:r>
    </w:p>
    <w:p w14:paraId="0B41B732">
      <w:pPr>
        <w:pStyle w:val="26"/>
        <w:ind w:firstLine="480"/>
        <w:rPr>
          <w:rFonts w:hint="default"/>
        </w:rPr>
      </w:pPr>
      <w:r>
        <w:t>C.由于主要试验检测人员更换频繁（两次及以上），导致不能正常履行合同，委托人将按违约处理，上报行业主管部门，作为不良记录纳入公路建设市场信用信息管理系统，或终止合同。</w:t>
      </w:r>
    </w:p>
    <w:p w14:paraId="56195F9F">
      <w:pPr>
        <w:pStyle w:val="26"/>
        <w:ind w:firstLine="480"/>
        <w:rPr>
          <w:rFonts w:hint="default"/>
        </w:rPr>
      </w:pPr>
      <w:r>
        <w:t>D. 监理试验室实际进场试验检测人员未达到合同承诺的进场人数或与每个季度支付监理试验室服务费时上报人员不相符的，其中差额部分的试验检测人员服务费将扣除，并课以违约金，违约金金额为差额部分的试验检测人员服务费的 2～5 倍。</w:t>
      </w:r>
    </w:p>
    <w:p w14:paraId="13F1FCE7">
      <w:pPr>
        <w:pStyle w:val="26"/>
        <w:ind w:firstLine="480"/>
        <w:rPr>
          <w:rFonts w:hint="default"/>
        </w:rPr>
      </w:pPr>
      <w:r>
        <w:t>E. 监理试验室及试验检测人员对委托人通知、指令贯彻不力的，将视情节轻重对监理人课以人民币1000元以上违约金。</w:t>
      </w:r>
    </w:p>
    <w:p w14:paraId="7BD1969E">
      <w:pPr>
        <w:pStyle w:val="26"/>
        <w:ind w:firstLine="480"/>
        <w:rPr>
          <w:rFonts w:hint="default"/>
        </w:rPr>
      </w:pPr>
      <w:r>
        <w:fldChar w:fldCharType="begin"/>
      </w:r>
      <w:r>
        <w:instrText xml:space="preserve">= 2 \* GB3</w:instrText>
      </w:r>
      <w:r>
        <w:fldChar w:fldCharType="separate"/>
      </w:r>
      <w:r>
        <w:t>②</w:t>
      </w:r>
      <w:r>
        <w:fldChar w:fldCharType="end"/>
      </w:r>
      <w:r>
        <w:t>由于监理试验室派驻到现场的主要试验检测人员在试用期后考核不合格的，更换主要试验检测人员（试验室主任或技术负责人、试验检测工程师），所更换人员资格要求不低于比选申请文件中人员要求，并不免除其违约责任，按以下相关规定课以违约金：</w:t>
      </w:r>
    </w:p>
    <w:p w14:paraId="712F91DA">
      <w:pPr>
        <w:pStyle w:val="26"/>
        <w:ind w:firstLine="480"/>
        <w:rPr>
          <w:rFonts w:hint="default"/>
        </w:rPr>
      </w:pPr>
      <w:r>
        <w:t>A.对试验室主任和技术负责人考核不合格，按每人次课以1万元违约金；</w:t>
      </w:r>
    </w:p>
    <w:p w14:paraId="6C0D2708">
      <w:pPr>
        <w:pStyle w:val="26"/>
        <w:ind w:firstLine="480"/>
        <w:rPr>
          <w:rFonts w:hint="default"/>
        </w:rPr>
      </w:pPr>
      <w:r>
        <w:t>B.对其他主要人员考核不合格，按每人次课以0.5万元违约金。</w:t>
      </w:r>
    </w:p>
    <w:p w14:paraId="3A81E78F">
      <w:pPr>
        <w:pStyle w:val="26"/>
        <w:ind w:firstLine="480"/>
        <w:rPr>
          <w:rFonts w:hint="default"/>
        </w:rPr>
      </w:pPr>
      <w:r>
        <w:t>第11.1.2项最后一句细化为：</w:t>
      </w:r>
    </w:p>
    <w:p w14:paraId="41447F63">
      <w:pPr>
        <w:pStyle w:val="26"/>
        <w:ind w:firstLine="480"/>
        <w:rPr>
          <w:rFonts w:hint="default"/>
        </w:rPr>
      </w:pPr>
      <w:r>
        <w:t>委托人将其违约行为按《四川省重点公路建设从业单位信用管理办法》（川交函[2016]84号）上报交通运输主管部门，作为不良记录纳入公路建设市场信用信息管理系统。</w:t>
      </w:r>
    </w:p>
    <w:p w14:paraId="3F5F5815">
      <w:pPr>
        <w:pStyle w:val="26"/>
        <w:ind w:firstLine="480"/>
        <w:rPr>
          <w:rFonts w:hint="default"/>
        </w:rPr>
      </w:pPr>
      <w:r>
        <w:t>11.1.3监理试验室的违约赔偿责任</w:t>
      </w:r>
    </w:p>
    <w:p w14:paraId="0A14079B">
      <w:pPr>
        <w:pStyle w:val="26"/>
        <w:ind w:firstLine="480"/>
        <w:rPr>
          <w:rFonts w:hint="default"/>
        </w:rPr>
      </w:pPr>
      <w:r>
        <w:t>本目细化为：监理试验室因违反监理试验室合同的约定，造成委托人的经济损失时，应根据其所承担责任的比例向委托人赔偿损失。赔偿金=工程损失金额/施工单位的合同总价（监理试验室管辖的全部施工单位合计）×监理试验室合同价×认定的监理试验室责任比例（%）。当对责任的确定有争议时，按合同条款的有关规定解决。</w:t>
      </w:r>
    </w:p>
    <w:p w14:paraId="1EA7A891">
      <w:pPr>
        <w:pStyle w:val="26"/>
        <w:ind w:firstLine="480"/>
        <w:rPr>
          <w:rFonts w:hint="default"/>
        </w:rPr>
      </w:pPr>
      <w:r>
        <w:t>11.1.4 监理试验室除按上述违约条款执行外，还应遵守委托人相关管理办法及实施细则，若委托人相关管理办法规章制度及实施细则中相关追索违约金的内容中违约金金额与上述监理试验室违约条款不一致则以较高者为准。</w:t>
      </w:r>
    </w:p>
    <w:p w14:paraId="46053CA5">
      <w:pPr>
        <w:pStyle w:val="26"/>
        <w:ind w:firstLine="482"/>
        <w:rPr>
          <w:rFonts w:hint="default"/>
          <w:b/>
          <w:bCs/>
        </w:rPr>
      </w:pPr>
      <w:r>
        <w:rPr>
          <w:b/>
          <w:bCs/>
        </w:rPr>
        <w:t>11.2 委托人违约</w:t>
      </w:r>
    </w:p>
    <w:p w14:paraId="617541DE">
      <w:pPr>
        <w:pStyle w:val="26"/>
        <w:ind w:firstLine="480"/>
        <w:rPr>
          <w:rFonts w:hint="default"/>
        </w:rPr>
      </w:pPr>
      <w:r>
        <w:t>11.2.2 委托人发生违约情况时，监理试验室有权向委托人课以违约金，具体约定如下：委托因违反监理试验室合同的规定造成监理试验室的经济损失时，由监理试验室提出处理意见与委托人协商，并由委托人据实向监理试验室赔偿经济损失。赔偿金为监理试验室的直接经济损失。</w:t>
      </w:r>
    </w:p>
    <w:p w14:paraId="5CC237FE">
      <w:pPr>
        <w:pStyle w:val="27"/>
        <w:rPr>
          <w:rFonts w:hint="default"/>
        </w:rPr>
      </w:pPr>
      <w:r>
        <w:t>12. 争议的解决</w:t>
      </w:r>
    </w:p>
    <w:p w14:paraId="150C52EA">
      <w:pPr>
        <w:pStyle w:val="26"/>
        <w:ind w:firstLine="480"/>
        <w:rPr>
          <w:rFonts w:hint="default"/>
        </w:rPr>
      </w:pPr>
      <w:r>
        <w:t>争议的最终解决方式：双方在履行本试验合同过程中发生争端时，双方约定申请诉讼方式，诉讼机构是委托人注册地具有相关管辖范围的人民法院。</w:t>
      </w:r>
    </w:p>
    <w:p w14:paraId="26CBD7E1">
      <w:pPr>
        <w:pStyle w:val="26"/>
        <w:ind w:firstLine="482"/>
        <w:rPr>
          <w:rFonts w:hint="default"/>
          <w:b/>
          <w:bCs/>
        </w:rPr>
      </w:pPr>
      <w:r>
        <w:rPr>
          <w:b/>
          <w:bCs/>
        </w:rPr>
        <w:t>补充第13条：</w:t>
      </w:r>
    </w:p>
    <w:p w14:paraId="65FB4B1B">
      <w:pPr>
        <w:pStyle w:val="27"/>
        <w:rPr>
          <w:rFonts w:hint="default"/>
        </w:rPr>
      </w:pPr>
      <w:r>
        <w:t>13.后续管理办法</w:t>
      </w:r>
    </w:p>
    <w:p w14:paraId="615D6FD6">
      <w:pPr>
        <w:pStyle w:val="26"/>
        <w:ind w:firstLine="480"/>
        <w:rPr>
          <w:rFonts w:hint="default"/>
        </w:rPr>
      </w:pPr>
      <w:r>
        <w:t>在工程实施过程中，如果有新的规程、办法、规范的颁布实施，本项目将按上级主管部门的决定采用执行，如有费用增减将合同条款有关规定办理。 施工期间，监理试验室还应执行委托人针对本项目制定的质量、安全、环保、进度、计量、变更、奖励、资金管理等方面的管理办法。</w:t>
      </w:r>
    </w:p>
    <w:p w14:paraId="2D5EEB3A">
      <w:pPr>
        <w:pStyle w:val="26"/>
        <w:ind w:firstLine="480"/>
        <w:rPr>
          <w:rFonts w:hint="default"/>
        </w:rPr>
        <w:sectPr>
          <w:pgSz w:w="11906" w:h="16839"/>
          <w:pgMar w:top="1431" w:right="1785" w:bottom="1362" w:left="1785" w:header="0" w:footer="1202" w:gutter="0"/>
          <w:cols w:space="720" w:num="1"/>
        </w:sectPr>
      </w:pPr>
    </w:p>
    <w:p w14:paraId="3EA15145">
      <w:pPr>
        <w:pStyle w:val="7"/>
      </w:pPr>
      <w:r>
        <w:rPr>
          <w:rFonts w:hint="eastAsia"/>
        </w:rPr>
        <w:t>附件一 合同协议书</w:t>
      </w:r>
    </w:p>
    <w:p w14:paraId="727EE3DC">
      <w:pPr>
        <w:pStyle w:val="6"/>
      </w:pPr>
      <w:r>
        <w:rPr>
          <w:rFonts w:hint="eastAsia"/>
        </w:rPr>
        <w:t>合同协 议 书（XQSY）</w:t>
      </w:r>
    </w:p>
    <w:p w14:paraId="415431BA">
      <w:pPr>
        <w:pStyle w:val="121"/>
        <w:spacing w:line="360" w:lineRule="auto"/>
        <w:rPr>
          <w:rFonts w:ascii="宋体" w:hAnsi="宋体" w:eastAsia="宋体" w:cs="宋体"/>
          <w:sz w:val="24"/>
          <w:szCs w:val="24"/>
        </w:rPr>
      </w:pPr>
    </w:p>
    <w:p w14:paraId="0985101B">
      <w:pPr>
        <w:pStyle w:val="26"/>
        <w:ind w:firstLine="480"/>
        <w:rPr>
          <w:rFonts w:hint="default"/>
        </w:rPr>
      </w:pPr>
      <w:r>
        <w:t xml:space="preserve"> </w:t>
      </w:r>
      <w:r>
        <w:tab/>
      </w:r>
      <w:r>
        <w:rPr>
          <w:u w:val="single"/>
        </w:rPr>
        <w:t xml:space="preserve">        （委托人名称，以下简称“委托人”）</w:t>
      </w:r>
      <w:r>
        <w:t xml:space="preserve">为实施 </w:t>
      </w:r>
      <w:r>
        <w:rPr>
          <w:u w:val="single"/>
        </w:rPr>
        <w:tab/>
      </w:r>
      <w:r>
        <w:rPr>
          <w:u w:val="single"/>
        </w:rPr>
        <w:t xml:space="preserve">   </w:t>
      </w:r>
      <w:r>
        <w:rPr>
          <w:u w:val="single"/>
        </w:rPr>
        <w:tab/>
      </w:r>
      <w:r>
        <w:rPr>
          <w:u w:val="single"/>
        </w:rPr>
        <w:t>（比选项目名称）</w:t>
      </w:r>
      <w:r>
        <w:t xml:space="preserve">，已接受 </w:t>
      </w:r>
      <w:r>
        <w:rPr>
          <w:u w:val="single"/>
        </w:rPr>
        <w:tab/>
      </w:r>
      <w:r>
        <w:rPr>
          <w:u w:val="single"/>
        </w:rPr>
        <w:tab/>
      </w:r>
      <w:r>
        <w:rPr>
          <w:u w:val="single"/>
        </w:rPr>
        <w:t>（试验检测机构名称，以下简称“试验检测机构”）</w:t>
      </w:r>
      <w:r>
        <w:t>对该项目第</w:t>
      </w:r>
      <w:r>
        <w:rPr>
          <w:u w:val="single"/>
        </w:rPr>
        <w:t xml:space="preserve">   </w:t>
      </w:r>
      <w:r>
        <w:t>标段的比选申请。委托人和试验检测机构共同达成如下协议。</w:t>
      </w:r>
    </w:p>
    <w:p w14:paraId="524B27F8">
      <w:pPr>
        <w:pStyle w:val="26"/>
        <w:ind w:firstLine="480"/>
        <w:rPr>
          <w:rFonts w:hint="default"/>
        </w:rPr>
      </w:pPr>
      <w:r>
        <w:t>1. 第</w:t>
      </w:r>
      <w:r>
        <w:rPr>
          <w:u w:val="single"/>
        </w:rPr>
        <w:t xml:space="preserve">     </w:t>
      </w:r>
      <w:r>
        <w:t>标段主要内容为                                       。</w:t>
      </w:r>
    </w:p>
    <w:p w14:paraId="4205F6EB">
      <w:pPr>
        <w:pStyle w:val="26"/>
        <w:ind w:firstLine="480"/>
        <w:rPr>
          <w:rFonts w:hint="default"/>
        </w:rPr>
      </w:pPr>
      <w:r>
        <w:t>2. 下列文件应视为构成合同文件的组成部分：</w:t>
      </w:r>
    </w:p>
    <w:p w14:paraId="78935150">
      <w:pPr>
        <w:pStyle w:val="26"/>
        <w:ind w:firstLine="480"/>
        <w:rPr>
          <w:rFonts w:hint="default"/>
        </w:rPr>
      </w:pPr>
      <w:r>
        <w:t xml:space="preserve"> （1）本协议书及各种合同附件（含评选期间和合同谈判过程中的澄清文件和补充资料）；</w:t>
      </w:r>
    </w:p>
    <w:p w14:paraId="72A730D5">
      <w:pPr>
        <w:pStyle w:val="26"/>
        <w:ind w:firstLine="480"/>
        <w:rPr>
          <w:rFonts w:hint="default"/>
        </w:rPr>
      </w:pPr>
      <w:r>
        <w:t xml:space="preserve"> （2）中选通知书；</w:t>
      </w:r>
    </w:p>
    <w:p w14:paraId="3F99B039">
      <w:pPr>
        <w:pStyle w:val="26"/>
        <w:ind w:firstLine="480"/>
        <w:rPr>
          <w:rFonts w:hint="default"/>
        </w:rPr>
      </w:pPr>
      <w:r>
        <w:t xml:space="preserve"> （3）比选申请函及比选申请函附录；</w:t>
      </w:r>
    </w:p>
    <w:p w14:paraId="3B75C7E9">
      <w:pPr>
        <w:pStyle w:val="26"/>
        <w:ind w:firstLine="480"/>
        <w:rPr>
          <w:rFonts w:hint="default"/>
        </w:rPr>
      </w:pPr>
      <w:r>
        <w:t xml:space="preserve"> （4）项目专用合同条款；</w:t>
      </w:r>
    </w:p>
    <w:p w14:paraId="3BF47D73">
      <w:pPr>
        <w:pStyle w:val="26"/>
        <w:ind w:firstLine="480"/>
        <w:rPr>
          <w:rFonts w:hint="default"/>
        </w:rPr>
      </w:pPr>
      <w:r>
        <w:t xml:space="preserve"> （5）公路工程专用合同条款；</w:t>
      </w:r>
    </w:p>
    <w:p w14:paraId="0AFD8C30">
      <w:pPr>
        <w:pStyle w:val="26"/>
        <w:ind w:firstLine="480"/>
        <w:rPr>
          <w:rFonts w:hint="default"/>
        </w:rPr>
      </w:pPr>
      <w:r>
        <w:t xml:space="preserve"> （6）通用合同条款；</w:t>
      </w:r>
    </w:p>
    <w:p w14:paraId="4B9D23E4">
      <w:pPr>
        <w:pStyle w:val="26"/>
        <w:ind w:firstLine="480"/>
        <w:rPr>
          <w:rFonts w:hint="default"/>
        </w:rPr>
      </w:pPr>
      <w:r>
        <w:t xml:space="preserve"> （7）委托人要求；</w:t>
      </w:r>
    </w:p>
    <w:p w14:paraId="4C04063A">
      <w:pPr>
        <w:pStyle w:val="26"/>
        <w:ind w:firstLine="480"/>
        <w:rPr>
          <w:rFonts w:hint="default"/>
        </w:rPr>
      </w:pPr>
      <w:r>
        <w:t xml:space="preserve"> （8）监理试验室服务费用清单；</w:t>
      </w:r>
    </w:p>
    <w:p w14:paraId="71558127">
      <w:pPr>
        <w:pStyle w:val="26"/>
        <w:ind w:firstLine="480"/>
        <w:rPr>
          <w:rFonts w:hint="default"/>
        </w:rPr>
      </w:pPr>
      <w:r>
        <w:t xml:space="preserve"> （9）试验检测机构有关人员、试验检测设备投入的承诺；</w:t>
      </w:r>
    </w:p>
    <w:p w14:paraId="783BBF6A">
      <w:pPr>
        <w:pStyle w:val="26"/>
        <w:ind w:firstLine="480"/>
        <w:rPr>
          <w:rFonts w:hint="default"/>
        </w:rPr>
      </w:pPr>
      <w:r>
        <w:t xml:space="preserve"> （10）其他合同文件。</w:t>
      </w:r>
    </w:p>
    <w:p w14:paraId="71D40AD3">
      <w:pPr>
        <w:pStyle w:val="26"/>
        <w:ind w:firstLine="480"/>
        <w:rPr>
          <w:rFonts w:hint="default"/>
        </w:rPr>
      </w:pPr>
      <w:r>
        <w:t>上述合同文件互相补充和解释，如果合同文件存在矛盾或不一致之处，以上述文件的排列顺序在先者为准。</w:t>
      </w:r>
    </w:p>
    <w:p w14:paraId="5E80EB26">
      <w:pPr>
        <w:pStyle w:val="26"/>
        <w:ind w:firstLine="480"/>
        <w:rPr>
          <w:rFonts w:hint="default"/>
        </w:rPr>
      </w:pPr>
      <w:r>
        <w:t>3.签约合同价：人民币（大写）</w:t>
      </w:r>
      <w:r>
        <w:rPr>
          <w:u w:val="single"/>
        </w:rPr>
        <w:t xml:space="preserve">      </w:t>
      </w:r>
      <w:r>
        <w:rPr>
          <w:u w:val="single"/>
        </w:rPr>
        <w:tab/>
      </w:r>
      <w:r>
        <w:t xml:space="preserve">元（¥   </w:t>
      </w:r>
      <w:r>
        <w:rPr>
          <w:u w:val="single"/>
        </w:rPr>
        <w:t xml:space="preserve">   </w:t>
      </w:r>
      <w:r>
        <w:rPr>
          <w:u w:val="single"/>
        </w:rPr>
        <w:tab/>
      </w:r>
      <w:r>
        <w:t>）。</w:t>
      </w:r>
    </w:p>
    <w:p w14:paraId="51F350B0">
      <w:pPr>
        <w:pStyle w:val="26"/>
        <w:ind w:firstLine="480"/>
        <w:rPr>
          <w:rFonts w:hint="default"/>
        </w:rPr>
      </w:pPr>
      <w:r>
        <w:t>4.试验室主任：</w:t>
      </w:r>
      <w:r>
        <w:rPr>
          <w:u w:val="single"/>
        </w:rPr>
        <w:t xml:space="preserve">               </w:t>
      </w:r>
      <w:r>
        <w:t>。</w:t>
      </w:r>
    </w:p>
    <w:p w14:paraId="6ED02748">
      <w:pPr>
        <w:pStyle w:val="26"/>
        <w:ind w:firstLine="480"/>
        <w:rPr>
          <w:rFonts w:hint="default"/>
        </w:rPr>
      </w:pPr>
      <w:r>
        <w:t>技术负责人：</w:t>
      </w:r>
      <w:r>
        <w:rPr>
          <w:u w:val="single"/>
        </w:rPr>
        <w:t xml:space="preserve">              </w:t>
      </w:r>
      <w:r>
        <w:t xml:space="preserve"> 。</w:t>
      </w:r>
    </w:p>
    <w:p w14:paraId="20BADBFA">
      <w:pPr>
        <w:pStyle w:val="26"/>
        <w:ind w:firstLine="480"/>
        <w:rPr>
          <w:rFonts w:hint="default"/>
        </w:rPr>
      </w:pPr>
      <w:r>
        <w:t>5.监理试验室工作质量符合的标准和要求：</w:t>
      </w:r>
      <w:r>
        <w:rPr>
          <w:u w:val="single"/>
        </w:rPr>
        <w:t xml:space="preserve">         </w:t>
      </w:r>
      <w:r>
        <w:t xml:space="preserve"> 。安全目标：</w:t>
      </w:r>
      <w:r>
        <w:rPr>
          <w:u w:val="single"/>
        </w:rPr>
        <w:t xml:space="preserve">      </w:t>
      </w:r>
      <w:r>
        <w:t xml:space="preserve"> 。</w:t>
      </w:r>
    </w:p>
    <w:p w14:paraId="79A72E53">
      <w:pPr>
        <w:pStyle w:val="26"/>
        <w:ind w:firstLine="480"/>
        <w:rPr>
          <w:rFonts w:hint="default"/>
        </w:rPr>
      </w:pPr>
      <w:r>
        <w:t>6.试验检测机构承诺按合同约定承担工程的监理试验室。</w:t>
      </w:r>
    </w:p>
    <w:p w14:paraId="73C19130">
      <w:pPr>
        <w:pStyle w:val="26"/>
        <w:ind w:firstLine="480"/>
        <w:rPr>
          <w:rFonts w:hint="default"/>
        </w:rPr>
      </w:pPr>
      <w:r>
        <w:t>7.委托人承诺按合同约定的条件、时间和方式向试验检测机构支付合同价款。</w:t>
      </w:r>
    </w:p>
    <w:p w14:paraId="78998B16">
      <w:pPr>
        <w:pStyle w:val="26"/>
        <w:ind w:firstLine="480"/>
        <w:rPr>
          <w:rFonts w:hint="default"/>
        </w:rPr>
      </w:pPr>
      <w:r>
        <w:t>8.计划开始监理试验室日期：</w:t>
      </w:r>
      <w:r>
        <w:rPr>
          <w:u w:val="single"/>
        </w:rPr>
        <w:t xml:space="preserve">      </w:t>
      </w:r>
      <w:r>
        <w:t xml:space="preserve"> ，实际日期按照合同条款中约定的开始监理试验室日期为准。监理试验室服务期限：</w:t>
      </w:r>
      <w:r>
        <w:rPr>
          <w:u w:val="single"/>
        </w:rPr>
        <w:t xml:space="preserve">    </w:t>
      </w:r>
      <w:r>
        <w:t xml:space="preserve"> 个月，</w:t>
      </w:r>
    </w:p>
    <w:p w14:paraId="6CB01EA9">
      <w:pPr>
        <w:pStyle w:val="26"/>
        <w:ind w:firstLine="480"/>
        <w:rPr>
          <w:rFonts w:hint="default"/>
        </w:rPr>
      </w:pPr>
      <w:r>
        <w:t>9.本协议书由双方法定代表人或其委托代理人签署并加盖单位章后生效。全部工程完工后经委托人验收合格后失效。</w:t>
      </w:r>
    </w:p>
    <w:p w14:paraId="01B1F062">
      <w:pPr>
        <w:pStyle w:val="26"/>
        <w:ind w:firstLine="480"/>
        <w:rPr>
          <w:rFonts w:hint="default"/>
        </w:rPr>
      </w:pPr>
      <w:r>
        <w:t>10.本协议书正本二份、副本   份，合同双方各执正本一份，副本  份，当正本与副本的内容不一致时，以正本为准。</w:t>
      </w:r>
    </w:p>
    <w:p w14:paraId="7D0E0FBB">
      <w:pPr>
        <w:pStyle w:val="26"/>
        <w:ind w:firstLine="480"/>
        <w:rPr>
          <w:rFonts w:hint="default"/>
        </w:rPr>
      </w:pPr>
      <w:r>
        <w:t>11.合同未尽事宜，双方另行签订补充协议。补充协议是合同的组成部分。</w:t>
      </w:r>
    </w:p>
    <w:p w14:paraId="0500C889">
      <w:pPr>
        <w:pStyle w:val="26"/>
        <w:ind w:firstLine="480"/>
        <w:rPr>
          <w:rFonts w:hint="default"/>
        </w:rPr>
      </w:pPr>
    </w:p>
    <w:p w14:paraId="7D3CA750">
      <w:pPr>
        <w:pStyle w:val="26"/>
        <w:ind w:firstLine="480"/>
        <w:rPr>
          <w:rFonts w:hint="default"/>
        </w:rPr>
      </w:pPr>
    </w:p>
    <w:p w14:paraId="3E0550B4">
      <w:pPr>
        <w:pStyle w:val="26"/>
        <w:ind w:firstLine="480"/>
        <w:rPr>
          <w:rFonts w:hint="default"/>
        </w:rPr>
      </w:pPr>
    </w:p>
    <w:p w14:paraId="468EEED5">
      <w:pPr>
        <w:pStyle w:val="26"/>
        <w:ind w:firstLine="480"/>
        <w:rPr>
          <w:rFonts w:hint="default"/>
        </w:rPr>
      </w:pPr>
    </w:p>
    <w:p w14:paraId="51E83535">
      <w:pPr>
        <w:pStyle w:val="26"/>
        <w:ind w:firstLine="480"/>
        <w:rPr>
          <w:rFonts w:hint="default"/>
        </w:rPr>
      </w:pPr>
      <w:r>
        <w:t xml:space="preserve">委托人： </w:t>
      </w:r>
      <w:r>
        <w:rPr>
          <w:u w:val="single"/>
        </w:rPr>
        <w:tab/>
      </w:r>
      <w:r>
        <w:rPr>
          <w:u w:val="single"/>
        </w:rPr>
        <w:t xml:space="preserve">              （盖单位章）</w:t>
      </w:r>
      <w:r>
        <w:tab/>
      </w:r>
    </w:p>
    <w:p w14:paraId="55AEC33A">
      <w:pPr>
        <w:pStyle w:val="26"/>
        <w:ind w:left="3278" w:leftChars="166" w:hanging="2880" w:hangingChars="1200"/>
        <w:rPr>
          <w:rFonts w:hint="default"/>
        </w:rPr>
      </w:pPr>
      <w:r>
        <w:t>法定代表人或其委托代理人：</w:t>
      </w:r>
      <w:r>
        <w:rPr>
          <w:u w:val="single"/>
        </w:rPr>
        <w:t xml:space="preserve">       （签字或盖章）</w:t>
      </w:r>
      <w:r>
        <w:tab/>
      </w:r>
      <w:r>
        <w:t xml:space="preserve"> </w:t>
      </w:r>
      <w:r>
        <w:tab/>
      </w:r>
      <w:r>
        <w:t xml:space="preserve">                         </w:t>
      </w:r>
      <w:r>
        <w:rPr>
          <w:rFonts w:hint="eastAsia"/>
          <w:lang w:val="en-US" w:eastAsia="zh-CN"/>
        </w:rPr>
        <w:t xml:space="preserve">  </w:t>
      </w:r>
      <w:r>
        <w:t>年</w:t>
      </w:r>
      <w:r>
        <w:rPr>
          <w:rFonts w:hint="eastAsia"/>
          <w:lang w:val="en-US" w:eastAsia="zh-CN"/>
        </w:rPr>
        <w:t xml:space="preserve">  </w:t>
      </w:r>
      <w:r>
        <w:t xml:space="preserve"> </w:t>
      </w:r>
      <w:r>
        <w:tab/>
      </w:r>
      <w:r>
        <w:t>月</w:t>
      </w:r>
      <w:r>
        <w:tab/>
      </w:r>
      <w:r>
        <w:t xml:space="preserve"> 日</w:t>
      </w:r>
      <w:r>
        <w:tab/>
      </w:r>
      <w:r>
        <w:t xml:space="preserve"> </w:t>
      </w:r>
      <w:r>
        <w:tab/>
      </w:r>
      <w:r>
        <w:t xml:space="preserve">       </w:t>
      </w:r>
    </w:p>
    <w:p w14:paraId="4E526B8B">
      <w:pPr>
        <w:pStyle w:val="26"/>
        <w:ind w:firstLine="480"/>
        <w:rPr>
          <w:rFonts w:hint="default"/>
        </w:rPr>
      </w:pPr>
    </w:p>
    <w:p w14:paraId="4C3E84E1">
      <w:pPr>
        <w:pStyle w:val="26"/>
        <w:ind w:firstLine="480"/>
        <w:rPr>
          <w:rFonts w:hint="default"/>
          <w:u w:val="single"/>
        </w:rPr>
      </w:pPr>
      <w:r>
        <w:t>试验检测机构：</w:t>
      </w:r>
      <w:r>
        <w:rPr>
          <w:u w:val="single"/>
        </w:rPr>
        <w:t xml:space="preserve">              （盖单位章） </w:t>
      </w:r>
    </w:p>
    <w:p w14:paraId="2A2934FE">
      <w:pPr>
        <w:pStyle w:val="26"/>
        <w:ind w:firstLine="480"/>
        <w:rPr>
          <w:rFonts w:hint="default"/>
          <w:u w:val="single"/>
        </w:rPr>
      </w:pPr>
      <w:r>
        <w:t>法定代表人或其委托代理人：</w:t>
      </w:r>
      <w:r>
        <w:rPr>
          <w:u w:val="single"/>
        </w:rPr>
        <w:t xml:space="preserve">      （签字或盖章）</w:t>
      </w:r>
    </w:p>
    <w:p w14:paraId="26F56568">
      <w:pPr>
        <w:pStyle w:val="26"/>
        <w:ind w:firstLine="2623" w:firstLineChars="1093"/>
        <w:rPr>
          <w:rFonts w:hint="default"/>
        </w:rPr>
      </w:pPr>
      <w:r>
        <w:t xml:space="preserve">      </w:t>
      </w:r>
      <w:r>
        <w:rPr>
          <w:rFonts w:hint="eastAsia"/>
          <w:lang w:val="en-US" w:eastAsia="zh-CN"/>
        </w:rPr>
        <w:t xml:space="preserve">   </w:t>
      </w:r>
      <w:r>
        <w:t>年       月</w:t>
      </w:r>
      <w:r>
        <w:tab/>
      </w:r>
      <w:r>
        <w:t xml:space="preserve">   日</w:t>
      </w:r>
    </w:p>
    <w:p w14:paraId="2E3B4782">
      <w:pPr>
        <w:pStyle w:val="26"/>
        <w:ind w:firstLine="480"/>
        <w:rPr>
          <w:rFonts w:hint="default"/>
        </w:rPr>
        <w:sectPr>
          <w:pgSz w:w="11906" w:h="16839"/>
          <w:pgMar w:top="1431" w:right="1785" w:bottom="1362" w:left="1785" w:header="0" w:footer="1202" w:gutter="0"/>
          <w:cols w:space="720" w:num="1"/>
        </w:sectPr>
      </w:pPr>
    </w:p>
    <w:p w14:paraId="7B21BF1F">
      <w:pPr>
        <w:pStyle w:val="7"/>
      </w:pPr>
      <w:r>
        <w:rPr>
          <w:rFonts w:hint="eastAsia"/>
        </w:rPr>
        <w:t>附件二</w:t>
      </w:r>
      <w:r>
        <w:t xml:space="preserve"> </w:t>
      </w:r>
      <w:r>
        <w:rPr>
          <w:rFonts w:hint="eastAsia"/>
        </w:rPr>
        <w:t>廉政合同</w:t>
      </w:r>
    </w:p>
    <w:p w14:paraId="6868D74F">
      <w:pPr>
        <w:pStyle w:val="6"/>
      </w:pPr>
      <w:r>
        <w:rPr>
          <w:rFonts w:hint="eastAsia"/>
        </w:rPr>
        <w:t>廉</w:t>
      </w:r>
      <w:r>
        <w:t xml:space="preserve"> </w:t>
      </w:r>
      <w:r>
        <w:rPr>
          <w:rFonts w:hint="eastAsia"/>
        </w:rPr>
        <w:t>政</w:t>
      </w:r>
      <w:r>
        <w:t xml:space="preserve"> </w:t>
      </w:r>
      <w:r>
        <w:rPr>
          <w:rFonts w:hint="eastAsia"/>
        </w:rPr>
        <w:t>合</w:t>
      </w:r>
      <w:r>
        <w:t xml:space="preserve"> </w:t>
      </w:r>
      <w:r>
        <w:rPr>
          <w:rFonts w:hint="eastAsia"/>
        </w:rPr>
        <w:t>同</w:t>
      </w:r>
    </w:p>
    <w:p w14:paraId="373B4E4C">
      <w:pPr>
        <w:pStyle w:val="120"/>
        <w:spacing w:line="360" w:lineRule="auto"/>
        <w:ind w:right="30" w:firstLine="464" w:firstLineChars="200"/>
        <w:rPr>
          <w:spacing w:val="-4"/>
        </w:rPr>
      </w:pPr>
    </w:p>
    <w:p w14:paraId="7AE66ADB">
      <w:pPr>
        <w:pStyle w:val="120"/>
        <w:spacing w:line="360" w:lineRule="auto"/>
        <w:ind w:right="30" w:firstLine="464" w:firstLineChars="200"/>
        <w:rPr>
          <w:rFonts w:eastAsia="宋体"/>
          <w:spacing w:val="-4"/>
        </w:rPr>
        <w:sectPr>
          <w:pgSz w:w="11906" w:h="16839"/>
          <w:pgMar w:top="1431" w:right="1785" w:bottom="1362" w:left="1785" w:header="0" w:footer="1202" w:gutter="0"/>
          <w:cols w:space="720" w:num="1"/>
        </w:sectPr>
      </w:pPr>
    </w:p>
    <w:p w14:paraId="1E920EC1">
      <w:pPr>
        <w:pStyle w:val="26"/>
        <w:spacing w:line="500" w:lineRule="exact"/>
        <w:ind w:firstLine="480"/>
        <w:rPr>
          <w:rFonts w:hint="default"/>
        </w:rPr>
      </w:pPr>
      <w:r>
        <w:t>根据《关于在交通基础设施建设中加强廉政建设的若干意见》以及有关工程建设、廉政建设的规定，为做好工程建设中的党风廉政建设，保证工程建设高效优质， 保证建设资金的安全和有效使用以及投资效益，</w:t>
      </w:r>
      <w:r>
        <w:rPr>
          <w:u w:val="single"/>
        </w:rPr>
        <w:t xml:space="preserve"> </w:t>
      </w:r>
      <w:r>
        <w:rPr>
          <w:u w:val="single"/>
        </w:rPr>
        <w:tab/>
      </w:r>
      <w:r>
        <w:rPr>
          <w:u w:val="single"/>
        </w:rPr>
        <w:t xml:space="preserve">    （项目名称）</w:t>
      </w:r>
      <w:r>
        <w:t xml:space="preserve">的项目法人 </w:t>
      </w:r>
      <w:r>
        <w:tab/>
      </w:r>
      <w:r>
        <w:rPr>
          <w:u w:val="single"/>
        </w:rPr>
        <w:t xml:space="preserve">    </w:t>
      </w:r>
      <w:r>
        <w:rPr>
          <w:u w:val="single"/>
        </w:rPr>
        <w:tab/>
      </w:r>
      <w:r>
        <w:rPr>
          <w:u w:val="single"/>
        </w:rPr>
        <w:t xml:space="preserve">        （项目法人名称，以下简称“发包人”）</w:t>
      </w:r>
      <w:r>
        <w:t>与</w:t>
      </w:r>
      <w:r>
        <w:rPr>
          <w:u w:val="single"/>
        </w:rPr>
        <w:tab/>
      </w:r>
      <w:r>
        <w:rPr>
          <w:u w:val="single"/>
        </w:rPr>
        <w:t xml:space="preserve">    （比选项目名称）</w:t>
      </w:r>
      <w:r>
        <w:t>比选第</w:t>
      </w:r>
      <w:r>
        <w:rPr>
          <w:u w:val="single"/>
        </w:rPr>
        <w:t xml:space="preserve">   </w:t>
      </w:r>
      <w:r>
        <w:t xml:space="preserve">标段的试验检测机构  </w:t>
      </w:r>
      <w:r>
        <w:rPr>
          <w:u w:val="single"/>
        </w:rPr>
        <w:tab/>
      </w:r>
      <w:r>
        <w:rPr>
          <w:u w:val="single"/>
        </w:rPr>
        <w:t xml:space="preserve">    （试验检测机构名称，以下简称“试验检测机构”）</w:t>
      </w:r>
      <w:r>
        <w:t>，特订立如下合同。</w:t>
      </w:r>
    </w:p>
    <w:p w14:paraId="6BA49297">
      <w:pPr>
        <w:pStyle w:val="26"/>
        <w:spacing w:line="500" w:lineRule="exact"/>
        <w:ind w:firstLine="482"/>
        <w:rPr>
          <w:rFonts w:hint="default"/>
          <w:b/>
          <w:bCs/>
        </w:rPr>
      </w:pPr>
      <w:r>
        <w:rPr>
          <w:b/>
          <w:bCs/>
        </w:rPr>
        <w:t>1. 发包人和试验检测机构双方的权利和义务</w:t>
      </w:r>
    </w:p>
    <w:p w14:paraId="6766A0BA">
      <w:pPr>
        <w:pStyle w:val="26"/>
        <w:spacing w:line="500" w:lineRule="exact"/>
        <w:ind w:firstLine="480"/>
        <w:rPr>
          <w:rFonts w:hint="default"/>
        </w:rPr>
      </w:pPr>
      <w:r>
        <w:t>（1）严格遵守党的政策规定和国家有关法律法规及交通运输部的有关规定。</w:t>
      </w:r>
    </w:p>
    <w:p w14:paraId="0C7C650B">
      <w:pPr>
        <w:pStyle w:val="26"/>
        <w:spacing w:line="500" w:lineRule="exact"/>
        <w:ind w:firstLine="480"/>
        <w:rPr>
          <w:rFonts w:hint="default"/>
        </w:rPr>
      </w:pPr>
      <w:r>
        <w:t xml:space="preserve">（2）严格执行 </w:t>
      </w:r>
      <w:r>
        <w:tab/>
      </w:r>
      <w:r>
        <w:t xml:space="preserve">（比选项目名称）比选第   </w:t>
      </w:r>
      <w:r>
        <w:tab/>
      </w:r>
      <w:r>
        <w:t>标段合同文件，自觉按合同办事。</w:t>
      </w:r>
    </w:p>
    <w:p w14:paraId="42420760">
      <w:pPr>
        <w:pStyle w:val="26"/>
        <w:spacing w:line="500" w:lineRule="exact"/>
        <w:ind w:firstLine="480"/>
        <w:rPr>
          <w:rFonts w:hint="default"/>
        </w:rPr>
      </w:pPr>
      <w:r>
        <w:t>（3）双方的业务活动坚持公开、公正、诚信、透明的原则（法律认定的商业秘密和合同文件另有规定除外），不得损害国家和集体利益，不得违反工程建设管理规章制度。</w:t>
      </w:r>
    </w:p>
    <w:p w14:paraId="77D295C3">
      <w:pPr>
        <w:pStyle w:val="26"/>
        <w:spacing w:line="500" w:lineRule="exact"/>
        <w:ind w:firstLine="480"/>
        <w:rPr>
          <w:rFonts w:hint="default"/>
        </w:rPr>
      </w:pPr>
      <w:r>
        <w:t>（4）建立健全廉政制度，开展廉政教育，设立廉政告示牌，公布举报电话，监督并认真查处违法违纪行为。</w:t>
      </w:r>
    </w:p>
    <w:p w14:paraId="2B3FE0C3">
      <w:pPr>
        <w:pStyle w:val="26"/>
        <w:spacing w:line="500" w:lineRule="exact"/>
        <w:ind w:firstLine="480"/>
        <w:rPr>
          <w:rFonts w:hint="default"/>
        </w:rPr>
      </w:pPr>
      <w:r>
        <w:t>（5）发现对方在业务活动中有违反廉政规定的行为，有及时提醒对方纠正的权利和义务。</w:t>
      </w:r>
    </w:p>
    <w:p w14:paraId="2082E136">
      <w:pPr>
        <w:pStyle w:val="26"/>
        <w:spacing w:line="500" w:lineRule="exact"/>
        <w:ind w:firstLine="480"/>
        <w:rPr>
          <w:rFonts w:hint="default"/>
        </w:rPr>
      </w:pPr>
      <w:r>
        <w:t>（6）发现对方严重违反本合同义务条款的行为，有向其上级有关部门举报、建议给予处理并要求告知处理结果的权利。</w:t>
      </w:r>
    </w:p>
    <w:p w14:paraId="118B8321">
      <w:pPr>
        <w:pStyle w:val="26"/>
        <w:spacing w:line="500" w:lineRule="exact"/>
        <w:ind w:firstLine="482"/>
        <w:rPr>
          <w:rFonts w:hint="default"/>
          <w:b/>
          <w:bCs/>
        </w:rPr>
      </w:pPr>
      <w:r>
        <w:rPr>
          <w:b/>
          <w:bCs/>
        </w:rPr>
        <w:t>2. 发包人的义务</w:t>
      </w:r>
    </w:p>
    <w:p w14:paraId="56FA6659">
      <w:pPr>
        <w:pStyle w:val="26"/>
        <w:spacing w:line="500" w:lineRule="exact"/>
        <w:ind w:firstLine="480"/>
        <w:rPr>
          <w:rFonts w:hint="default"/>
        </w:rPr>
      </w:pPr>
      <w:r>
        <w:t>（1）发包人及其工作人员不得索要或接受试验检测机构的礼金、有价证券和贵重物品，不得让试验检测机构报销任何应由发包人或发包人工作人员个人支付的费用等。</w:t>
      </w:r>
    </w:p>
    <w:p w14:paraId="1BBB78CF">
      <w:pPr>
        <w:pStyle w:val="26"/>
        <w:spacing w:line="500" w:lineRule="exact"/>
        <w:ind w:firstLine="480"/>
        <w:rPr>
          <w:rFonts w:hint="default"/>
        </w:rPr>
      </w:pPr>
      <w:r>
        <w:t>（2）发包人工作人员不得参加试验检测机构安排的超标准宴请和娱乐活动；不得接受试验检测机构提供的通讯工具、交通工具和高档办公用品等。</w:t>
      </w:r>
    </w:p>
    <w:p w14:paraId="79673816">
      <w:pPr>
        <w:pStyle w:val="26"/>
        <w:spacing w:line="500" w:lineRule="exact"/>
        <w:ind w:firstLine="480"/>
        <w:rPr>
          <w:rFonts w:hint="default"/>
        </w:rPr>
      </w:pPr>
      <w:r>
        <w:t>（3）发包人及其工作人员不得要求或者接受试验检测机构为其住房装修、婚丧嫁娶活动、配偶子女的工作安排以及出国出境、旅游等提供方便等。</w:t>
      </w:r>
    </w:p>
    <w:p w14:paraId="01D975F8">
      <w:pPr>
        <w:pStyle w:val="26"/>
        <w:spacing w:line="500" w:lineRule="exact"/>
        <w:ind w:firstLine="480"/>
        <w:rPr>
          <w:rFonts w:hint="default"/>
        </w:rPr>
      </w:pPr>
      <w:r>
        <w:t>（4）发包人工作人员及其配偶、子女不得从事与发包人工程有关的材料设备供应、工程分包、劳务等经济活动等。</w:t>
      </w:r>
    </w:p>
    <w:p w14:paraId="6ACCE870">
      <w:pPr>
        <w:pStyle w:val="26"/>
        <w:spacing w:line="500" w:lineRule="exact"/>
        <w:ind w:firstLine="480"/>
        <w:rPr>
          <w:rFonts w:hint="default"/>
        </w:rPr>
      </w:pPr>
      <w:r>
        <w:t>（5）发包人及其工作人员不得以任何理由向试验检测机构推荐分包单位或推销材料，不得要求试验检测机构购买合同规定外的材料和设备。</w:t>
      </w:r>
    </w:p>
    <w:p w14:paraId="009B30D0">
      <w:pPr>
        <w:pStyle w:val="26"/>
        <w:spacing w:line="500" w:lineRule="exact"/>
        <w:ind w:firstLine="480"/>
        <w:rPr>
          <w:rFonts w:hint="default"/>
        </w:rPr>
      </w:pPr>
      <w:r>
        <w:t>（6）发包人工作人员要秉公办事，不准营私舞弊，不准利用职权从事各种个人有偿中介活动和安排个人施工队伍。</w:t>
      </w:r>
    </w:p>
    <w:p w14:paraId="1F16C2E0">
      <w:pPr>
        <w:pStyle w:val="26"/>
        <w:spacing w:line="500" w:lineRule="exact"/>
        <w:ind w:firstLine="482"/>
        <w:rPr>
          <w:rFonts w:hint="default"/>
          <w:b/>
          <w:bCs/>
        </w:rPr>
      </w:pPr>
      <w:r>
        <w:rPr>
          <w:b/>
          <w:bCs/>
        </w:rPr>
        <w:t>3. 试验检测机构的义务</w:t>
      </w:r>
    </w:p>
    <w:p w14:paraId="2EA24061">
      <w:pPr>
        <w:pStyle w:val="26"/>
        <w:spacing w:line="500" w:lineRule="exact"/>
        <w:ind w:firstLine="480"/>
        <w:rPr>
          <w:rFonts w:hint="default"/>
        </w:rPr>
      </w:pPr>
      <w:r>
        <w:t>（1）试验检测机构不得以任何理由向发包人及其工作人员行贿或馈赠礼金、有价证券、贵重礼品。</w:t>
      </w:r>
    </w:p>
    <w:p w14:paraId="75CAC1E1">
      <w:pPr>
        <w:pStyle w:val="26"/>
        <w:spacing w:line="500" w:lineRule="exact"/>
        <w:ind w:firstLine="480"/>
        <w:rPr>
          <w:rFonts w:hint="default"/>
        </w:rPr>
      </w:pPr>
      <w:r>
        <w:t>（2）试验检测机构不得以任何名义为发包人及其工作人员报销应由发包人单位或个人支付的任何费用。</w:t>
      </w:r>
    </w:p>
    <w:p w14:paraId="696489F4">
      <w:pPr>
        <w:pStyle w:val="26"/>
        <w:spacing w:line="500" w:lineRule="exact"/>
        <w:ind w:firstLine="480"/>
        <w:rPr>
          <w:rFonts w:hint="default"/>
        </w:rPr>
      </w:pPr>
      <w:r>
        <w:t>（3）试验检测机构不得以任何理由安排发包人工作人员参加超标准宴请及娱乐活动。</w:t>
      </w:r>
    </w:p>
    <w:p w14:paraId="457929FE">
      <w:pPr>
        <w:pStyle w:val="26"/>
        <w:spacing w:line="500" w:lineRule="exact"/>
        <w:ind w:firstLine="480"/>
        <w:rPr>
          <w:rFonts w:hint="default"/>
        </w:rPr>
      </w:pPr>
      <w:r>
        <w:t>（4）试验检测机构不得为发包人单位和个人购置或提供通信工具、交通工具和高档办公用品等。</w:t>
      </w:r>
    </w:p>
    <w:p w14:paraId="7657D671">
      <w:pPr>
        <w:pStyle w:val="26"/>
        <w:spacing w:line="500" w:lineRule="exact"/>
        <w:ind w:firstLine="482"/>
        <w:rPr>
          <w:rFonts w:hint="default"/>
          <w:b/>
          <w:bCs/>
        </w:rPr>
      </w:pPr>
      <w:r>
        <w:rPr>
          <w:b/>
          <w:bCs/>
        </w:rPr>
        <w:t>4. 违约责任</w:t>
      </w:r>
    </w:p>
    <w:p w14:paraId="6A0BB03D">
      <w:pPr>
        <w:pStyle w:val="26"/>
        <w:spacing w:line="500" w:lineRule="exact"/>
        <w:ind w:firstLine="480"/>
        <w:rPr>
          <w:rFonts w:hint="default"/>
        </w:rPr>
      </w:pPr>
      <w:r>
        <w:t>（1）发包人及其工作人员违反本合同第 1、2 条，按管理权限，依据有关规定给予党纪、政纪或组织处理；涉嫌犯罪的，移交司法机关追究刑事责任；给试验检测机构单位造成经济损失的，应予以赔偿。</w:t>
      </w:r>
    </w:p>
    <w:p w14:paraId="11956170">
      <w:pPr>
        <w:pStyle w:val="26"/>
        <w:spacing w:line="500" w:lineRule="exact"/>
        <w:ind w:firstLine="480"/>
        <w:rPr>
          <w:rFonts w:hint="default"/>
        </w:rPr>
      </w:pPr>
      <w:r>
        <w:t>（2）试验检测机构及其工作人员违反本合同第 1、3 条，按管理权限，依据有关规定给予党纪、政纪或组织处理；给发包人单位造成经济损失的，应予以赔偿；情节严重的，发包人建议交通运输主管部门给予试验检测机构一至三年内不得进入其主管的公路 建设市场的处罚。</w:t>
      </w:r>
    </w:p>
    <w:p w14:paraId="227D4E99">
      <w:pPr>
        <w:pStyle w:val="26"/>
        <w:spacing w:line="500" w:lineRule="exact"/>
        <w:ind w:firstLine="482"/>
        <w:rPr>
          <w:rFonts w:hint="default"/>
        </w:rPr>
      </w:pPr>
      <w:r>
        <w:rPr>
          <w:b/>
          <w:bCs/>
        </w:rPr>
        <w:t>5. 双方约定</w:t>
      </w:r>
      <w:r>
        <w:t>：本合同由双方或双方上级单位的纪检监察部门负责监督执行。由发包人或发包人上级单位的纪检监察部门约请试验检测机构或试验检测机构上级单位纪检监察部门对本合同执行情况进行检查，提出在本合同规定范围内的裁定意见。</w:t>
      </w:r>
    </w:p>
    <w:p w14:paraId="4DF4CE08">
      <w:pPr>
        <w:pStyle w:val="26"/>
        <w:spacing w:line="500" w:lineRule="exact"/>
        <w:ind w:firstLine="482"/>
        <w:rPr>
          <w:rFonts w:hint="default"/>
        </w:rPr>
      </w:pPr>
      <w:r>
        <w:rPr>
          <w:b/>
          <w:bCs/>
        </w:rPr>
        <w:t xml:space="preserve">6. </w:t>
      </w:r>
      <w:r>
        <w:t>本合同有效期为发包人和试验检测机构签署之日起至完成该工程项目内容后止。</w:t>
      </w:r>
    </w:p>
    <w:p w14:paraId="2AA6E901">
      <w:pPr>
        <w:pStyle w:val="26"/>
        <w:spacing w:line="500" w:lineRule="exact"/>
        <w:ind w:firstLine="482"/>
        <w:rPr>
          <w:rFonts w:hint="default"/>
        </w:rPr>
      </w:pPr>
      <w:r>
        <w:rPr>
          <w:b/>
          <w:bCs/>
        </w:rPr>
        <w:t xml:space="preserve">7. </w:t>
      </w:r>
      <w:r>
        <w:t xml:space="preserve">本合同作为 </w:t>
      </w:r>
      <w:r>
        <w:rPr>
          <w:u w:val="single"/>
        </w:rPr>
        <w:tab/>
      </w:r>
      <w:r>
        <w:rPr>
          <w:u w:val="single"/>
        </w:rPr>
        <w:t>（比选项目名称）</w:t>
      </w:r>
      <w:r>
        <w:t>比选第</w:t>
      </w:r>
      <w:r>
        <w:rPr>
          <w:u w:val="single"/>
        </w:rPr>
        <w:t xml:space="preserve">    </w:t>
      </w:r>
      <w:r>
        <w:t>标段合同的附件，与工程施工合同具有同等的法律效力，经合同双方签署后立即生效。</w:t>
      </w:r>
    </w:p>
    <w:p w14:paraId="2360EB53">
      <w:pPr>
        <w:pStyle w:val="26"/>
        <w:spacing w:line="500" w:lineRule="exact"/>
        <w:ind w:firstLine="482"/>
        <w:rPr>
          <w:rFonts w:hint="default"/>
        </w:rPr>
      </w:pPr>
      <w:r>
        <w:rPr>
          <w:b/>
          <w:bCs/>
        </w:rPr>
        <w:t xml:space="preserve">8. </w:t>
      </w:r>
      <w:r>
        <w:t>本合同一式四份，由发包人和试验检测机构各执一份，送交发包人和试验检测机构的监督单位各一份。</w:t>
      </w:r>
    </w:p>
    <w:p w14:paraId="59D0211F">
      <w:pPr>
        <w:pStyle w:val="26"/>
        <w:spacing w:line="500" w:lineRule="exact"/>
        <w:ind w:firstLine="480"/>
        <w:rPr>
          <w:rFonts w:hint="default"/>
        </w:rPr>
      </w:pPr>
    </w:p>
    <w:p w14:paraId="558C07B1">
      <w:pPr>
        <w:pStyle w:val="26"/>
        <w:spacing w:line="500" w:lineRule="exact"/>
        <w:ind w:firstLine="480"/>
        <w:rPr>
          <w:rFonts w:hint="default"/>
        </w:rPr>
      </w:pPr>
    </w:p>
    <w:p w14:paraId="7B266B48">
      <w:pPr>
        <w:pStyle w:val="26"/>
        <w:spacing w:line="500" w:lineRule="exact"/>
        <w:ind w:firstLine="480"/>
        <w:rPr>
          <w:rFonts w:hint="default"/>
        </w:rPr>
        <w:sectPr>
          <w:type w:val="continuous"/>
          <w:pgSz w:w="11906" w:h="16839"/>
          <w:pgMar w:top="1431" w:right="1785" w:bottom="1362" w:left="1785" w:header="0" w:footer="1202" w:gutter="0"/>
          <w:cols w:space="720" w:num="1"/>
        </w:sectPr>
      </w:pPr>
    </w:p>
    <w:p w14:paraId="60E2BDE3">
      <w:pPr>
        <w:pStyle w:val="26"/>
        <w:spacing w:line="500" w:lineRule="exact"/>
        <w:ind w:firstLine="480"/>
        <w:rPr>
          <w:rFonts w:hint="default"/>
        </w:rPr>
      </w:pPr>
      <w:r>
        <w:t>发包人：</w:t>
      </w:r>
      <w:r>
        <w:rPr>
          <w:u w:val="single"/>
        </w:rPr>
        <w:t xml:space="preserve"> </w:t>
      </w:r>
      <w:r>
        <w:rPr>
          <w:u w:val="single"/>
        </w:rPr>
        <w:tab/>
      </w:r>
      <w:r>
        <w:rPr>
          <w:u w:val="single"/>
        </w:rPr>
        <w:t>（盖单位章）</w:t>
      </w:r>
    </w:p>
    <w:p w14:paraId="6A4CA2C9">
      <w:pPr>
        <w:pStyle w:val="26"/>
        <w:spacing w:line="500" w:lineRule="exact"/>
        <w:ind w:firstLine="480"/>
        <w:rPr>
          <w:rFonts w:hint="default"/>
          <w:u w:val="single"/>
        </w:rPr>
      </w:pPr>
      <w:r>
        <w:t xml:space="preserve">法定代表人或其委托代理人： </w:t>
      </w:r>
      <w:r>
        <w:tab/>
      </w:r>
      <w:r>
        <w:rPr>
          <w:u w:val="single"/>
        </w:rPr>
        <w:t xml:space="preserve">         （签字）   </w:t>
      </w:r>
    </w:p>
    <w:p w14:paraId="7B7FEEE3">
      <w:pPr>
        <w:pStyle w:val="26"/>
        <w:spacing w:line="500" w:lineRule="exact"/>
        <w:ind w:firstLine="480"/>
        <w:rPr>
          <w:rFonts w:hint="default"/>
        </w:rPr>
      </w:pPr>
      <w:r>
        <w:t xml:space="preserve"> </w:t>
      </w:r>
      <w:r>
        <w:tab/>
      </w:r>
      <w:r>
        <w:t xml:space="preserve">年 </w:t>
      </w:r>
      <w:r>
        <w:tab/>
      </w:r>
      <w:r>
        <w:t>月</w:t>
      </w:r>
      <w:r>
        <w:tab/>
      </w:r>
      <w:r>
        <w:t>日</w:t>
      </w:r>
      <w:r>
        <w:tab/>
      </w:r>
      <w:r>
        <w:t xml:space="preserve"> </w:t>
      </w:r>
    </w:p>
    <w:p w14:paraId="69D52391">
      <w:pPr>
        <w:pStyle w:val="26"/>
        <w:spacing w:line="500" w:lineRule="exact"/>
        <w:ind w:firstLine="0" w:firstLineChars="0"/>
        <w:rPr>
          <w:rFonts w:hint="default"/>
          <w:u w:val="single"/>
        </w:rPr>
      </w:pPr>
      <w:r>
        <w:t>发包人监督单位：</w:t>
      </w:r>
      <w:r>
        <w:rPr>
          <w:u w:val="single"/>
        </w:rPr>
        <w:t>（全称）</w:t>
      </w:r>
    </w:p>
    <w:p w14:paraId="7A98A127">
      <w:pPr>
        <w:pStyle w:val="26"/>
        <w:spacing w:line="500" w:lineRule="exact"/>
        <w:ind w:firstLine="0" w:firstLineChars="0"/>
        <w:rPr>
          <w:rFonts w:hint="default"/>
          <w:u w:val="single"/>
        </w:rPr>
      </w:pPr>
      <w:r>
        <w:rPr>
          <w:u w:val="single"/>
        </w:rPr>
        <w:t>（盖单位章）</w:t>
      </w:r>
      <w:r>
        <w:rPr>
          <w:u w:val="single"/>
        </w:rPr>
        <w:tab/>
      </w:r>
    </w:p>
    <w:p w14:paraId="4236708C">
      <w:pPr>
        <w:pStyle w:val="26"/>
        <w:spacing w:line="500" w:lineRule="exact"/>
        <w:ind w:firstLine="480"/>
        <w:rPr>
          <w:rFonts w:hint="default"/>
        </w:rPr>
      </w:pPr>
      <w:r>
        <w:t>试验检测机构：</w:t>
      </w:r>
      <w:r>
        <w:rPr>
          <w:u w:val="single"/>
        </w:rPr>
        <w:t xml:space="preserve">         （盖单位章）</w:t>
      </w:r>
      <w:r>
        <w:t xml:space="preserve"> </w:t>
      </w:r>
    </w:p>
    <w:p w14:paraId="61998A9E">
      <w:pPr>
        <w:pStyle w:val="26"/>
        <w:spacing w:line="500" w:lineRule="exact"/>
        <w:ind w:firstLine="480"/>
        <w:rPr>
          <w:rFonts w:hint="default"/>
          <w:u w:val="single"/>
        </w:rPr>
      </w:pPr>
      <w:r>
        <w:t xml:space="preserve">法定代表人或其委托代理人： </w:t>
      </w:r>
      <w:r>
        <w:tab/>
      </w:r>
      <w:r>
        <w:rPr>
          <w:u w:val="single"/>
        </w:rPr>
        <w:t xml:space="preserve">          （签字）</w:t>
      </w:r>
    </w:p>
    <w:p w14:paraId="3A9C2985">
      <w:pPr>
        <w:pStyle w:val="26"/>
        <w:spacing w:line="500" w:lineRule="exact"/>
        <w:ind w:firstLine="480"/>
        <w:rPr>
          <w:rFonts w:hint="default"/>
        </w:rPr>
      </w:pPr>
      <w:r>
        <w:t xml:space="preserve">年 </w:t>
      </w:r>
      <w:r>
        <w:tab/>
      </w:r>
      <w:r>
        <w:t>月</w:t>
      </w:r>
      <w:r>
        <w:tab/>
      </w:r>
      <w:r>
        <w:t>日</w:t>
      </w:r>
    </w:p>
    <w:p w14:paraId="7C947305">
      <w:pPr>
        <w:pStyle w:val="26"/>
        <w:spacing w:line="500" w:lineRule="exact"/>
        <w:ind w:firstLine="480"/>
        <w:rPr>
          <w:rFonts w:hint="default"/>
          <w:u w:val="single"/>
        </w:rPr>
      </w:pPr>
      <w:r>
        <w:t>试验检测机构监督单位：</w:t>
      </w:r>
      <w:r>
        <w:rPr>
          <w:u w:val="single"/>
        </w:rPr>
        <w:t>（全称）</w:t>
      </w:r>
    </w:p>
    <w:p w14:paraId="4D4E808F">
      <w:pPr>
        <w:pStyle w:val="26"/>
        <w:spacing w:line="500" w:lineRule="exact"/>
        <w:ind w:firstLine="480"/>
        <w:rPr>
          <w:rFonts w:hint="default"/>
          <w:u w:val="single"/>
        </w:rPr>
      </w:pPr>
      <w:r>
        <w:rPr>
          <w:u w:val="single"/>
        </w:rPr>
        <w:t>（盖单位章）</w:t>
      </w:r>
    </w:p>
    <w:p w14:paraId="60EE32B0">
      <w:pPr>
        <w:pStyle w:val="26"/>
        <w:ind w:firstLine="480"/>
        <w:rPr>
          <w:rFonts w:hint="default"/>
          <w:u w:val="single"/>
        </w:rPr>
        <w:sectPr>
          <w:type w:val="continuous"/>
          <w:pgSz w:w="11906" w:h="16839"/>
          <w:pgMar w:top="1431" w:right="1785" w:bottom="1362" w:left="1785" w:header="0" w:footer="1202" w:gutter="0"/>
          <w:cols w:equalWidth="0" w:num="2">
            <w:col w:w="3955" w:space="425"/>
            <w:col w:w="3955"/>
          </w:cols>
        </w:sectPr>
      </w:pPr>
    </w:p>
    <w:p w14:paraId="0A2875ED">
      <w:pPr>
        <w:pStyle w:val="26"/>
        <w:ind w:firstLine="480"/>
        <w:rPr>
          <w:rFonts w:hint="default" w:eastAsia="等线"/>
          <w:b/>
          <w:szCs w:val="30"/>
        </w:rPr>
        <w:sectPr>
          <w:type w:val="continuous"/>
          <w:pgSz w:w="11906" w:h="16839"/>
          <w:pgMar w:top="1431" w:right="1785" w:bottom="1362" w:left="1785" w:header="0" w:footer="1202" w:gutter="0"/>
          <w:cols w:space="720" w:num="1"/>
        </w:sectPr>
      </w:pPr>
      <w:r>
        <w:br w:type="page"/>
      </w:r>
    </w:p>
    <w:p w14:paraId="1A45954D">
      <w:pPr>
        <w:pStyle w:val="7"/>
      </w:pPr>
      <w:r>
        <w:rPr>
          <w:rFonts w:hint="eastAsia"/>
        </w:rPr>
        <w:t>附件三 其他主要人员最低要求</w:t>
      </w:r>
    </w:p>
    <w:p w14:paraId="401AEE6F">
      <w:pPr>
        <w:pStyle w:val="27"/>
        <w:jc w:val="center"/>
        <w:rPr>
          <w:rFonts w:hint="default"/>
        </w:rPr>
      </w:pPr>
      <w:r>
        <w:t>4-1、其他主要监理试验室人员的最低要求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73"/>
        <w:gridCol w:w="787"/>
        <w:gridCol w:w="5902"/>
      </w:tblGrid>
      <w:tr w14:paraId="3C75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5B5B6EB3">
            <w:pPr>
              <w:pStyle w:val="28"/>
              <w:rPr>
                <w:rFonts w:hint="default"/>
              </w:rPr>
            </w:pPr>
            <w:r>
              <w:t>标段</w:t>
            </w:r>
          </w:p>
        </w:tc>
        <w:tc>
          <w:tcPr>
            <w:tcW w:w="1073" w:type="dxa"/>
            <w:tcBorders>
              <w:top w:val="single" w:color="auto" w:sz="4" w:space="0"/>
              <w:left w:val="nil"/>
              <w:bottom w:val="single" w:color="auto" w:sz="4" w:space="0"/>
              <w:right w:val="single" w:color="auto" w:sz="4" w:space="0"/>
            </w:tcBorders>
            <w:vAlign w:val="center"/>
          </w:tcPr>
          <w:p w14:paraId="76BAC7C8">
            <w:pPr>
              <w:pStyle w:val="28"/>
              <w:rPr>
                <w:rFonts w:hint="default"/>
              </w:rPr>
            </w:pPr>
            <w:r>
              <w:t>人员</w:t>
            </w:r>
          </w:p>
        </w:tc>
        <w:tc>
          <w:tcPr>
            <w:tcW w:w="787" w:type="dxa"/>
            <w:tcBorders>
              <w:top w:val="single" w:color="auto" w:sz="4" w:space="0"/>
              <w:left w:val="nil"/>
              <w:bottom w:val="single" w:color="auto" w:sz="4" w:space="0"/>
              <w:right w:val="single" w:color="auto" w:sz="4" w:space="0"/>
            </w:tcBorders>
            <w:vAlign w:val="center"/>
          </w:tcPr>
          <w:p w14:paraId="68596CA9">
            <w:pPr>
              <w:pStyle w:val="28"/>
              <w:rPr>
                <w:rFonts w:hint="default"/>
              </w:rPr>
            </w:pPr>
            <w:r>
              <w:t>数量</w:t>
            </w:r>
          </w:p>
        </w:tc>
        <w:tc>
          <w:tcPr>
            <w:tcW w:w="5902" w:type="dxa"/>
            <w:tcBorders>
              <w:top w:val="single" w:color="auto" w:sz="4" w:space="0"/>
              <w:left w:val="nil"/>
              <w:bottom w:val="single" w:color="auto" w:sz="4" w:space="0"/>
              <w:right w:val="single" w:color="auto" w:sz="4" w:space="0"/>
            </w:tcBorders>
            <w:vAlign w:val="center"/>
          </w:tcPr>
          <w:p w14:paraId="0D7F92DD">
            <w:pPr>
              <w:pStyle w:val="28"/>
              <w:rPr>
                <w:rFonts w:hint="default"/>
              </w:rPr>
            </w:pPr>
            <w:r>
              <w:t>资格要求</w:t>
            </w:r>
          </w:p>
        </w:tc>
      </w:tr>
      <w:tr w14:paraId="04BB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88" w:type="dxa"/>
            <w:vMerge w:val="restart"/>
            <w:tcBorders>
              <w:top w:val="nil"/>
              <w:left w:val="single" w:color="auto" w:sz="4" w:space="0"/>
              <w:right w:val="single" w:color="auto" w:sz="4" w:space="0"/>
            </w:tcBorders>
            <w:vAlign w:val="center"/>
          </w:tcPr>
          <w:p w14:paraId="172F89A7">
            <w:pPr>
              <w:pStyle w:val="29"/>
            </w:pPr>
            <w:r>
              <w:rPr>
                <w:rFonts w:hint="eastAsia"/>
              </w:rPr>
              <w:t>XQSY</w:t>
            </w:r>
          </w:p>
        </w:tc>
        <w:tc>
          <w:tcPr>
            <w:tcW w:w="1073" w:type="dxa"/>
            <w:tcBorders>
              <w:top w:val="single" w:color="auto" w:sz="4" w:space="0"/>
              <w:left w:val="nil"/>
              <w:bottom w:val="single" w:color="auto" w:sz="4" w:space="0"/>
              <w:right w:val="single" w:color="auto" w:sz="4" w:space="0"/>
            </w:tcBorders>
            <w:vAlign w:val="center"/>
          </w:tcPr>
          <w:p w14:paraId="0E7E4352">
            <w:pPr>
              <w:pStyle w:val="29"/>
            </w:pPr>
            <w:r>
              <w:rPr>
                <w:rFonts w:hint="eastAsia"/>
              </w:rPr>
              <w:t>试验室技术负责人</w:t>
            </w:r>
          </w:p>
        </w:tc>
        <w:tc>
          <w:tcPr>
            <w:tcW w:w="787" w:type="dxa"/>
            <w:tcBorders>
              <w:top w:val="single" w:color="auto" w:sz="4" w:space="0"/>
              <w:left w:val="nil"/>
              <w:bottom w:val="single" w:color="auto" w:sz="4" w:space="0"/>
              <w:right w:val="single" w:color="auto" w:sz="4" w:space="0"/>
            </w:tcBorders>
            <w:vAlign w:val="center"/>
          </w:tcPr>
          <w:p w14:paraId="0A81D2BE">
            <w:pPr>
              <w:pStyle w:val="29"/>
            </w:pPr>
            <w:r>
              <w:rPr>
                <w:rFonts w:hint="eastAsia"/>
              </w:rPr>
              <w:t>1</w:t>
            </w:r>
          </w:p>
        </w:tc>
        <w:tc>
          <w:tcPr>
            <w:tcW w:w="5902" w:type="dxa"/>
            <w:tcBorders>
              <w:top w:val="single" w:color="auto" w:sz="4" w:space="0"/>
              <w:left w:val="nil"/>
              <w:bottom w:val="single" w:color="auto" w:sz="4" w:space="0"/>
              <w:right w:val="single" w:color="auto" w:sz="4" w:space="0"/>
            </w:tcBorders>
            <w:vAlign w:val="center"/>
          </w:tcPr>
          <w:p w14:paraId="2ECF0630">
            <w:pPr>
              <w:pStyle w:val="30"/>
            </w:pPr>
            <w:r>
              <w:rPr>
                <w:rFonts w:hint="eastAsia"/>
              </w:rPr>
              <w:t>（1）</w:t>
            </w:r>
            <w:r>
              <w:t>中级及以上职称，</w:t>
            </w:r>
            <w:r>
              <w:rPr>
                <w:rFonts w:hint="eastAsia"/>
              </w:rPr>
              <w:t>具有交通运输相关部门颁发的公路工程试验检测工程师或 （公路）检师或公路水运工程试验检测师资格证书</w:t>
            </w:r>
          </w:p>
          <w:p w14:paraId="6BC76881">
            <w:pPr>
              <w:pStyle w:val="30"/>
            </w:pPr>
            <w:r>
              <w:rPr>
                <w:rFonts w:hint="eastAsia"/>
              </w:rPr>
              <w:t>（2）</w:t>
            </w:r>
            <w:r>
              <w:t>至少在1个及以上高速公路工程项目中担任过试验室技术负责人职务。</w:t>
            </w:r>
          </w:p>
        </w:tc>
      </w:tr>
      <w:tr w14:paraId="76A1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88" w:type="dxa"/>
            <w:vMerge w:val="continue"/>
            <w:tcBorders>
              <w:top w:val="nil"/>
              <w:left w:val="single" w:color="auto" w:sz="4" w:space="0"/>
              <w:bottom w:val="single" w:color="auto" w:sz="4" w:space="0"/>
              <w:right w:val="single" w:color="auto" w:sz="4" w:space="0"/>
            </w:tcBorders>
            <w:vAlign w:val="center"/>
          </w:tcPr>
          <w:p w14:paraId="3F80DB47">
            <w:pPr>
              <w:pStyle w:val="29"/>
            </w:pPr>
          </w:p>
        </w:tc>
        <w:tc>
          <w:tcPr>
            <w:tcW w:w="1073" w:type="dxa"/>
            <w:tcBorders>
              <w:top w:val="single" w:color="auto" w:sz="4" w:space="0"/>
              <w:left w:val="nil"/>
              <w:bottom w:val="single" w:color="auto" w:sz="4" w:space="0"/>
              <w:right w:val="single" w:color="auto" w:sz="4" w:space="0"/>
            </w:tcBorders>
            <w:vAlign w:val="center"/>
          </w:tcPr>
          <w:p w14:paraId="1DB62098">
            <w:pPr>
              <w:pStyle w:val="29"/>
            </w:pPr>
            <w:r>
              <w:rPr>
                <w:rFonts w:hint="eastAsia"/>
              </w:rPr>
              <w:t>试验检测工程师</w:t>
            </w:r>
          </w:p>
        </w:tc>
        <w:tc>
          <w:tcPr>
            <w:tcW w:w="787" w:type="dxa"/>
            <w:tcBorders>
              <w:top w:val="single" w:color="auto" w:sz="4" w:space="0"/>
              <w:left w:val="nil"/>
              <w:bottom w:val="single" w:color="auto" w:sz="4" w:space="0"/>
              <w:right w:val="single" w:color="auto" w:sz="4" w:space="0"/>
            </w:tcBorders>
            <w:vAlign w:val="center"/>
          </w:tcPr>
          <w:p w14:paraId="7F4CF101">
            <w:pPr>
              <w:pStyle w:val="29"/>
            </w:pPr>
            <w:r>
              <w:rPr>
                <w:rFonts w:hint="eastAsia"/>
              </w:rPr>
              <w:t>1</w:t>
            </w:r>
          </w:p>
        </w:tc>
        <w:tc>
          <w:tcPr>
            <w:tcW w:w="5902" w:type="dxa"/>
            <w:tcBorders>
              <w:top w:val="single" w:color="auto" w:sz="4" w:space="0"/>
              <w:left w:val="nil"/>
              <w:bottom w:val="single" w:color="auto" w:sz="4" w:space="0"/>
              <w:right w:val="single" w:color="auto" w:sz="4" w:space="0"/>
            </w:tcBorders>
            <w:vAlign w:val="center"/>
          </w:tcPr>
          <w:p w14:paraId="1DE17CDE">
            <w:pPr>
              <w:pStyle w:val="30"/>
            </w:pPr>
            <w:r>
              <w:rPr>
                <w:rFonts w:hint="eastAsia"/>
              </w:rPr>
              <w:t>（1）</w:t>
            </w:r>
            <w:r>
              <w:t>中级及以上职称，</w:t>
            </w:r>
            <w:r>
              <w:rPr>
                <w:rFonts w:hint="eastAsia"/>
              </w:rPr>
              <w:t>具有交通运输相关部门颁发的公路工程试验检测工程师或 （公路）检师或公路水运工程试验检测师资格证书</w:t>
            </w:r>
          </w:p>
          <w:p w14:paraId="3D57189D">
            <w:pPr>
              <w:pStyle w:val="30"/>
            </w:pPr>
            <w:r>
              <w:rPr>
                <w:rFonts w:hint="eastAsia"/>
              </w:rPr>
              <w:t>（2）</w:t>
            </w:r>
            <w:r>
              <w:t>至少在1个及以上高速公路工程项目中担任过试验</w:t>
            </w:r>
            <w:r>
              <w:rPr>
                <w:rFonts w:hint="eastAsia"/>
              </w:rPr>
              <w:t>检测工程师</w:t>
            </w:r>
            <w:r>
              <w:t>职务。</w:t>
            </w:r>
          </w:p>
        </w:tc>
      </w:tr>
    </w:tbl>
    <w:p w14:paraId="322BC3D7">
      <w:pPr>
        <w:pStyle w:val="103"/>
        <w:spacing w:line="273" w:lineRule="auto"/>
        <w:jc w:val="left"/>
        <w:rPr>
          <w:rFonts w:ascii="宋体" w:hAnsi="宋体" w:cs="Times New Roman"/>
        </w:rPr>
      </w:pPr>
    </w:p>
    <w:p w14:paraId="753DA281">
      <w:pPr>
        <w:pStyle w:val="103"/>
        <w:spacing w:line="273" w:lineRule="auto"/>
        <w:jc w:val="left"/>
        <w:rPr>
          <w:rFonts w:ascii="宋体" w:hAnsi="宋体" w:cs="Times New Roman"/>
        </w:rPr>
      </w:pPr>
      <w:r>
        <w:rPr>
          <w:rFonts w:hint="eastAsia" w:ascii="宋体" w:hAnsi="宋体" w:cs="Times New Roman"/>
        </w:rPr>
        <w:t>注：（1）本表人员仅在签订合同时提供，要求为满足实际监理试验室工作需要的其他主要人员的最低要求，若委托人认为配备的人员不能满足现场的需要，有权要求增加或更换上述人员。</w:t>
      </w:r>
    </w:p>
    <w:p w14:paraId="0D682459">
      <w:pPr>
        <w:pStyle w:val="103"/>
        <w:spacing w:line="273" w:lineRule="auto"/>
        <w:ind w:firstLine="420" w:firstLineChars="200"/>
        <w:jc w:val="left"/>
        <w:rPr>
          <w:rFonts w:ascii="宋体" w:hAnsi="宋体" w:cs="Times New Roman"/>
        </w:rPr>
      </w:pPr>
      <w:r>
        <w:rPr>
          <w:rFonts w:hint="eastAsia" w:ascii="宋体" w:hAnsi="宋体" w:cs="Times New Roman"/>
        </w:rPr>
        <w:t>（2）如中选人拟派驻的人员数量和资格条件不满足本表要求，比选人应取消其中选资格。</w:t>
      </w:r>
    </w:p>
    <w:p w14:paraId="12764EC6">
      <w:pPr>
        <w:pStyle w:val="2"/>
        <w:ind w:left="0" w:leftChars="0" w:firstLine="0" w:firstLineChars="0"/>
        <w:jc w:val="center"/>
        <w:rPr>
          <w:rFonts w:hAnsi="宋体" w:cs="Times New Roman"/>
          <w:b/>
          <w:bCs/>
          <w:sz w:val="24"/>
          <w:szCs w:val="24"/>
        </w:rPr>
      </w:pPr>
    </w:p>
    <w:p w14:paraId="15C6D2AE">
      <w:pPr>
        <w:rPr>
          <w:rFonts w:ascii="宋体" w:hAnsi="宋体" w:cs="Times New Roman"/>
          <w:b/>
          <w:bCs/>
        </w:rPr>
      </w:pPr>
      <w:r>
        <w:rPr>
          <w:rFonts w:hint="eastAsia" w:ascii="宋体" w:hAnsi="宋体" w:cs="Times New Roman"/>
          <w:b/>
          <w:bCs/>
        </w:rPr>
        <w:br w:type="page"/>
      </w:r>
    </w:p>
    <w:p w14:paraId="5F2941AE">
      <w:pPr>
        <w:pStyle w:val="2"/>
        <w:ind w:left="0" w:leftChars="0" w:firstLine="0" w:firstLineChars="0"/>
        <w:jc w:val="center"/>
      </w:pPr>
      <w:r>
        <w:rPr>
          <w:rFonts w:hint="eastAsia" w:hAnsi="宋体" w:cs="Times New Roman"/>
          <w:b/>
          <w:bCs/>
          <w:sz w:val="24"/>
          <w:szCs w:val="24"/>
        </w:rPr>
        <w:t>4-2监理试验室人员配备表</w:t>
      </w:r>
    </w:p>
    <w:tbl>
      <w:tblPr>
        <w:tblStyle w:val="18"/>
        <w:tblW w:w="7920" w:type="dxa"/>
        <w:tblInd w:w="93" w:type="dxa"/>
        <w:tblLayout w:type="fixed"/>
        <w:tblCellMar>
          <w:top w:w="0" w:type="dxa"/>
          <w:left w:w="108" w:type="dxa"/>
          <w:bottom w:w="0" w:type="dxa"/>
          <w:right w:w="108" w:type="dxa"/>
        </w:tblCellMar>
      </w:tblPr>
      <w:tblGrid>
        <w:gridCol w:w="1987"/>
        <w:gridCol w:w="789"/>
        <w:gridCol w:w="5144"/>
      </w:tblGrid>
      <w:tr w14:paraId="478050E0">
        <w:tblPrEx>
          <w:tblCellMar>
            <w:top w:w="0" w:type="dxa"/>
            <w:left w:w="108" w:type="dxa"/>
            <w:bottom w:w="0" w:type="dxa"/>
            <w:right w:w="108" w:type="dxa"/>
          </w:tblCellMar>
        </w:tblPrEx>
        <w:trPr>
          <w:trHeight w:val="102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13E1">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人员名称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B53E">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人数</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1C4E">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检测服务时间（人•月）</w:t>
            </w:r>
          </w:p>
          <w:p w14:paraId="03FA5FFB">
            <w:pPr>
              <w:jc w:val="center"/>
              <w:textAlignment w:val="center"/>
              <w:rPr>
                <w:rFonts w:ascii="宋体" w:hAnsi="宋体" w:cs="宋体"/>
                <w:color w:val="000000"/>
                <w:sz w:val="20"/>
                <w:szCs w:val="20"/>
              </w:rPr>
            </w:pPr>
          </w:p>
        </w:tc>
      </w:tr>
      <w:tr w14:paraId="5865B26A">
        <w:tblPrEx>
          <w:tblCellMar>
            <w:top w:w="0" w:type="dxa"/>
            <w:left w:w="108" w:type="dxa"/>
            <w:bottom w:w="0" w:type="dxa"/>
            <w:right w:w="108" w:type="dxa"/>
          </w:tblCellMar>
        </w:tblPrEx>
        <w:trPr>
          <w:trHeight w:val="498"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6464">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试验室主任</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8CEC">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EA9D">
            <w:pPr>
              <w:jc w:val="center"/>
              <w:textAlignment w:val="center"/>
              <w:rPr>
                <w:rFonts w:ascii="宋体" w:hAnsi="宋体" w:cs="宋体"/>
                <w:color w:val="000000"/>
                <w:sz w:val="20"/>
                <w:szCs w:val="20"/>
              </w:rPr>
            </w:pPr>
            <w:r>
              <w:rPr>
                <w:rFonts w:hint="eastAsia" w:ascii="宋体" w:hAnsi="宋体" w:cs="宋体"/>
                <w:snapToGrid w:val="0"/>
                <w:color w:val="000000"/>
                <w:sz w:val="21"/>
                <w:szCs w:val="21"/>
                <w:lang w:bidi="ar"/>
              </w:rPr>
              <w:t>1×3</w:t>
            </w:r>
          </w:p>
        </w:tc>
      </w:tr>
      <w:tr w14:paraId="399D2037">
        <w:tblPrEx>
          <w:tblCellMar>
            <w:top w:w="0" w:type="dxa"/>
            <w:left w:w="108" w:type="dxa"/>
            <w:bottom w:w="0" w:type="dxa"/>
            <w:right w:w="108" w:type="dxa"/>
          </w:tblCellMar>
        </w:tblPrEx>
        <w:trPr>
          <w:trHeight w:val="60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3BAF">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试验室技术负责人</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C39E">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CF47">
            <w:pPr>
              <w:jc w:val="center"/>
              <w:textAlignment w:val="center"/>
              <w:rPr>
                <w:rFonts w:ascii="宋体" w:hAnsi="宋体" w:cs="宋体"/>
                <w:color w:val="000000"/>
                <w:sz w:val="20"/>
                <w:szCs w:val="20"/>
              </w:rPr>
            </w:pPr>
            <w:r>
              <w:rPr>
                <w:rFonts w:hint="eastAsia" w:ascii="宋体" w:hAnsi="宋体" w:cs="宋体"/>
                <w:snapToGrid w:val="0"/>
                <w:color w:val="000000"/>
                <w:sz w:val="21"/>
                <w:szCs w:val="21"/>
                <w:lang w:bidi="ar"/>
              </w:rPr>
              <w:t>1×3</w:t>
            </w:r>
          </w:p>
        </w:tc>
      </w:tr>
      <w:tr w14:paraId="67A12287">
        <w:tblPrEx>
          <w:tblCellMar>
            <w:top w:w="0" w:type="dxa"/>
            <w:left w:w="108" w:type="dxa"/>
            <w:bottom w:w="0" w:type="dxa"/>
            <w:right w:w="108" w:type="dxa"/>
          </w:tblCellMar>
        </w:tblPrEx>
        <w:trPr>
          <w:trHeight w:val="60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1BFA">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试验检测工程师</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3128">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A2A8">
            <w:pPr>
              <w:jc w:val="center"/>
              <w:textAlignment w:val="center"/>
              <w:rPr>
                <w:rFonts w:ascii="宋体" w:hAnsi="宋体" w:cs="宋体"/>
                <w:color w:val="000000"/>
                <w:sz w:val="20"/>
                <w:szCs w:val="20"/>
              </w:rPr>
            </w:pPr>
            <w:r>
              <w:rPr>
                <w:rFonts w:hint="eastAsia" w:ascii="宋体" w:hAnsi="宋体" w:cs="宋体"/>
                <w:snapToGrid w:val="0"/>
                <w:color w:val="000000"/>
                <w:sz w:val="21"/>
                <w:szCs w:val="21"/>
                <w:lang w:bidi="ar"/>
              </w:rPr>
              <w:t>1×3</w:t>
            </w:r>
          </w:p>
        </w:tc>
      </w:tr>
      <w:tr w14:paraId="3951B5D7">
        <w:tblPrEx>
          <w:tblCellMar>
            <w:top w:w="0" w:type="dxa"/>
            <w:left w:w="108" w:type="dxa"/>
            <w:bottom w:w="0" w:type="dxa"/>
            <w:right w:w="108" w:type="dxa"/>
          </w:tblCellMar>
        </w:tblPrEx>
        <w:trPr>
          <w:trHeight w:val="60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8283">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合计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5CA9">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3</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269">
            <w:pPr>
              <w:jc w:val="center"/>
              <w:textAlignment w:val="center"/>
              <w:rPr>
                <w:rFonts w:ascii="宋体" w:hAnsi="宋体" w:cs="宋体"/>
                <w:b/>
                <w:bCs/>
                <w:color w:val="000000"/>
                <w:sz w:val="20"/>
                <w:szCs w:val="20"/>
              </w:rPr>
            </w:pPr>
            <w:r>
              <w:rPr>
                <w:rFonts w:hint="eastAsia" w:ascii="宋体" w:hAnsi="宋体" w:cs="宋体"/>
                <w:b/>
                <w:bCs/>
                <w:color w:val="000000"/>
                <w:sz w:val="20"/>
                <w:szCs w:val="20"/>
              </w:rPr>
              <w:t>9</w:t>
            </w:r>
          </w:p>
        </w:tc>
      </w:tr>
    </w:tbl>
    <w:p w14:paraId="2051C516">
      <w:pPr>
        <w:spacing w:line="241" w:lineRule="auto"/>
        <w:rPr>
          <w:rFonts w:ascii="Arial"/>
          <w:sz w:val="21"/>
        </w:rPr>
      </w:pPr>
    </w:p>
    <w:p w14:paraId="72DA2E4B">
      <w:pPr>
        <w:spacing w:line="241" w:lineRule="auto"/>
        <w:rPr>
          <w:rFonts w:ascii="Arial"/>
          <w:sz w:val="21"/>
        </w:rPr>
      </w:pPr>
    </w:p>
    <w:p w14:paraId="7D700C0A">
      <w:pPr>
        <w:spacing w:line="241" w:lineRule="auto"/>
        <w:rPr>
          <w:rFonts w:ascii="Arial"/>
          <w:sz w:val="21"/>
        </w:rPr>
      </w:pPr>
    </w:p>
    <w:p w14:paraId="598AE158">
      <w:pPr>
        <w:spacing w:line="241" w:lineRule="auto"/>
        <w:rPr>
          <w:rFonts w:ascii="Arial"/>
          <w:sz w:val="21"/>
        </w:rPr>
      </w:pPr>
    </w:p>
    <w:p w14:paraId="3F9B6EB8">
      <w:pPr>
        <w:spacing w:line="241" w:lineRule="auto"/>
        <w:rPr>
          <w:rFonts w:ascii="Arial"/>
          <w:sz w:val="21"/>
        </w:rPr>
      </w:pPr>
    </w:p>
    <w:p w14:paraId="730126E8">
      <w:pPr>
        <w:spacing w:line="241" w:lineRule="auto"/>
        <w:rPr>
          <w:rFonts w:ascii="Arial"/>
          <w:sz w:val="21"/>
        </w:rPr>
      </w:pPr>
    </w:p>
    <w:p w14:paraId="21A2F173">
      <w:pPr>
        <w:spacing w:line="241" w:lineRule="auto"/>
        <w:rPr>
          <w:rFonts w:ascii="Arial"/>
          <w:sz w:val="21"/>
        </w:rPr>
      </w:pPr>
    </w:p>
    <w:p w14:paraId="5E4D5CFE">
      <w:pPr>
        <w:spacing w:line="241" w:lineRule="auto"/>
        <w:rPr>
          <w:rFonts w:ascii="Arial"/>
          <w:sz w:val="21"/>
        </w:rPr>
      </w:pPr>
    </w:p>
    <w:p w14:paraId="1CF7537A">
      <w:pPr>
        <w:spacing w:line="241" w:lineRule="auto"/>
        <w:rPr>
          <w:rFonts w:ascii="Arial"/>
          <w:sz w:val="21"/>
        </w:rPr>
      </w:pPr>
    </w:p>
    <w:p w14:paraId="56C4AEE1">
      <w:pPr>
        <w:spacing w:line="242" w:lineRule="auto"/>
        <w:rPr>
          <w:rFonts w:ascii="Arial"/>
          <w:sz w:val="21"/>
        </w:rPr>
      </w:pPr>
    </w:p>
    <w:p w14:paraId="09AB2ECA">
      <w:pPr>
        <w:spacing w:line="242" w:lineRule="auto"/>
        <w:rPr>
          <w:rFonts w:ascii="Arial"/>
          <w:sz w:val="21"/>
        </w:rPr>
      </w:pPr>
    </w:p>
    <w:p w14:paraId="066A2E7D">
      <w:pPr>
        <w:spacing w:line="242" w:lineRule="auto"/>
        <w:rPr>
          <w:rFonts w:ascii="Arial"/>
          <w:sz w:val="21"/>
        </w:rPr>
      </w:pPr>
    </w:p>
    <w:p w14:paraId="12056ACA">
      <w:pPr>
        <w:spacing w:line="242" w:lineRule="auto"/>
        <w:rPr>
          <w:rFonts w:ascii="Arial"/>
          <w:sz w:val="21"/>
        </w:rPr>
      </w:pPr>
    </w:p>
    <w:p w14:paraId="223BC049">
      <w:pPr>
        <w:spacing w:line="242" w:lineRule="auto"/>
        <w:rPr>
          <w:rFonts w:ascii="Arial"/>
          <w:sz w:val="21"/>
        </w:rPr>
      </w:pPr>
    </w:p>
    <w:p w14:paraId="4C7164ED">
      <w:pPr>
        <w:spacing w:line="242" w:lineRule="auto"/>
        <w:rPr>
          <w:rFonts w:ascii="Arial"/>
          <w:sz w:val="21"/>
        </w:rPr>
      </w:pPr>
    </w:p>
    <w:p w14:paraId="1E233578">
      <w:pPr>
        <w:spacing w:line="242" w:lineRule="auto"/>
        <w:rPr>
          <w:rFonts w:ascii="Arial"/>
          <w:sz w:val="21"/>
        </w:rPr>
      </w:pPr>
    </w:p>
    <w:p w14:paraId="547590F5">
      <w:pPr>
        <w:spacing w:line="242" w:lineRule="auto"/>
        <w:rPr>
          <w:rFonts w:ascii="Arial"/>
          <w:sz w:val="21"/>
        </w:rPr>
      </w:pPr>
    </w:p>
    <w:p w14:paraId="45E8489F">
      <w:pPr>
        <w:spacing w:line="242" w:lineRule="auto"/>
        <w:rPr>
          <w:rFonts w:ascii="Arial"/>
          <w:sz w:val="21"/>
        </w:rPr>
      </w:pPr>
    </w:p>
    <w:p w14:paraId="65ACF9E3">
      <w:pPr>
        <w:spacing w:line="242" w:lineRule="auto"/>
        <w:rPr>
          <w:rFonts w:ascii="Arial"/>
          <w:sz w:val="21"/>
        </w:rPr>
      </w:pPr>
    </w:p>
    <w:p w14:paraId="6C24DAB0">
      <w:pPr>
        <w:spacing w:line="242" w:lineRule="auto"/>
        <w:rPr>
          <w:rFonts w:ascii="Arial"/>
          <w:sz w:val="21"/>
        </w:rPr>
      </w:pPr>
    </w:p>
    <w:p w14:paraId="283E020D">
      <w:pPr>
        <w:spacing w:line="242" w:lineRule="auto"/>
        <w:rPr>
          <w:rFonts w:ascii="Arial"/>
          <w:sz w:val="21"/>
        </w:rPr>
      </w:pPr>
    </w:p>
    <w:p w14:paraId="0AB76118">
      <w:pPr>
        <w:pStyle w:val="2"/>
        <w:ind w:left="480"/>
        <w:rPr>
          <w:rFonts w:ascii="Arial"/>
          <w:sz w:val="21"/>
        </w:rPr>
      </w:pPr>
    </w:p>
    <w:p w14:paraId="7C1B346B">
      <w:pPr>
        <w:pStyle w:val="2"/>
        <w:ind w:left="480"/>
        <w:rPr>
          <w:rFonts w:ascii="Arial"/>
          <w:sz w:val="21"/>
        </w:rPr>
      </w:pPr>
    </w:p>
    <w:p w14:paraId="6E303D6F">
      <w:pPr>
        <w:pStyle w:val="2"/>
        <w:ind w:left="480"/>
        <w:rPr>
          <w:rFonts w:ascii="Arial"/>
          <w:sz w:val="21"/>
        </w:rPr>
      </w:pPr>
    </w:p>
    <w:p w14:paraId="69750525">
      <w:pPr>
        <w:pStyle w:val="2"/>
        <w:ind w:left="480"/>
        <w:rPr>
          <w:rFonts w:ascii="Arial"/>
          <w:sz w:val="21"/>
        </w:rPr>
      </w:pPr>
    </w:p>
    <w:p w14:paraId="7C38C8FB">
      <w:pPr>
        <w:pStyle w:val="2"/>
        <w:ind w:left="480"/>
        <w:rPr>
          <w:rFonts w:ascii="Arial"/>
          <w:sz w:val="21"/>
        </w:rPr>
      </w:pPr>
    </w:p>
    <w:p w14:paraId="5D8480A1">
      <w:pPr>
        <w:pStyle w:val="2"/>
        <w:ind w:left="480"/>
        <w:rPr>
          <w:rFonts w:ascii="Arial"/>
          <w:sz w:val="21"/>
        </w:rPr>
      </w:pPr>
    </w:p>
    <w:p w14:paraId="78575B2A">
      <w:pPr>
        <w:pStyle w:val="2"/>
        <w:ind w:left="480"/>
        <w:rPr>
          <w:rFonts w:ascii="Arial"/>
          <w:sz w:val="21"/>
        </w:rPr>
      </w:pPr>
    </w:p>
    <w:p w14:paraId="18CCAF7B">
      <w:pPr>
        <w:pStyle w:val="2"/>
        <w:ind w:left="480"/>
        <w:rPr>
          <w:rFonts w:ascii="Arial"/>
          <w:sz w:val="21"/>
        </w:rPr>
      </w:pPr>
    </w:p>
    <w:p w14:paraId="7E764F51">
      <w:pPr>
        <w:pStyle w:val="2"/>
        <w:ind w:left="480"/>
        <w:rPr>
          <w:rFonts w:ascii="Arial"/>
          <w:sz w:val="21"/>
        </w:rPr>
      </w:pPr>
    </w:p>
    <w:p w14:paraId="05220C9E">
      <w:pPr>
        <w:pStyle w:val="2"/>
        <w:ind w:left="480"/>
        <w:rPr>
          <w:rFonts w:ascii="Arial"/>
          <w:sz w:val="21"/>
        </w:rPr>
      </w:pPr>
    </w:p>
    <w:p w14:paraId="6FF61A9A">
      <w:pPr>
        <w:pStyle w:val="2"/>
        <w:ind w:left="480"/>
        <w:rPr>
          <w:rFonts w:ascii="Arial"/>
          <w:sz w:val="21"/>
        </w:rPr>
      </w:pPr>
    </w:p>
    <w:p w14:paraId="1562E7C9">
      <w:pPr>
        <w:spacing w:line="242" w:lineRule="auto"/>
        <w:rPr>
          <w:rFonts w:ascii="Arial"/>
          <w:sz w:val="21"/>
        </w:rPr>
      </w:pPr>
    </w:p>
    <w:p w14:paraId="05B33043">
      <w:pPr>
        <w:spacing w:line="242" w:lineRule="auto"/>
        <w:rPr>
          <w:rFonts w:ascii="Arial"/>
          <w:sz w:val="21"/>
        </w:rPr>
      </w:pPr>
    </w:p>
    <w:p w14:paraId="2420198B">
      <w:pPr>
        <w:pStyle w:val="5"/>
      </w:pPr>
    </w:p>
    <w:p w14:paraId="2FC4CCF9"/>
    <w:p w14:paraId="457A93DE">
      <w:pPr>
        <w:pStyle w:val="2"/>
        <w:ind w:left="480" w:firstLine="560"/>
      </w:pPr>
    </w:p>
    <w:p w14:paraId="3177D4AC"/>
    <w:p w14:paraId="2036192C">
      <w:pPr>
        <w:pStyle w:val="2"/>
        <w:ind w:left="480" w:firstLine="560"/>
      </w:pPr>
    </w:p>
    <w:p w14:paraId="3E36797E"/>
    <w:p w14:paraId="4881EFF5">
      <w:pPr>
        <w:pStyle w:val="2"/>
        <w:ind w:left="480" w:firstLine="560"/>
      </w:pPr>
    </w:p>
    <w:p w14:paraId="663BA567"/>
    <w:p w14:paraId="17F7D7F6">
      <w:pPr>
        <w:pStyle w:val="2"/>
        <w:ind w:left="480" w:firstLine="560"/>
      </w:pPr>
    </w:p>
    <w:p w14:paraId="01AAAE4E"/>
    <w:p w14:paraId="7AF71CE2">
      <w:pPr>
        <w:pStyle w:val="5"/>
        <w:sectPr>
          <w:pgSz w:w="11906" w:h="16839"/>
          <w:pgMar w:top="1431" w:right="1785" w:bottom="1362" w:left="1785" w:header="0" w:footer="1202" w:gutter="0"/>
          <w:cols w:space="720" w:num="1"/>
        </w:sectPr>
      </w:pPr>
      <w:bookmarkStart w:id="31" w:name="_bookmark5"/>
      <w:bookmarkEnd w:id="31"/>
      <w:r>
        <w:t xml:space="preserve">第五章 </w:t>
      </w:r>
      <w:r>
        <w:rPr>
          <w:rFonts w:hint="eastAsia"/>
        </w:rPr>
        <w:t>委托人要求</w:t>
      </w:r>
    </w:p>
    <w:p w14:paraId="530504F7">
      <w:pPr>
        <w:pStyle w:val="6"/>
      </w:pPr>
      <w:r>
        <w:rPr>
          <w:rFonts w:hint="eastAsia"/>
        </w:rPr>
        <w:t>委 托 人 要 求</w:t>
      </w:r>
    </w:p>
    <w:p w14:paraId="108D42A1">
      <w:pPr>
        <w:pStyle w:val="27"/>
        <w:rPr>
          <w:rFonts w:hint="default"/>
        </w:rPr>
      </w:pPr>
      <w:r>
        <w:t>一、工程范围</w:t>
      </w:r>
    </w:p>
    <w:p w14:paraId="262C7248">
      <w:pPr>
        <w:pStyle w:val="26"/>
        <w:ind w:firstLine="480"/>
        <w:rPr>
          <w:rFonts w:hint="default"/>
        </w:rPr>
      </w:pPr>
      <w:r>
        <w:t>详见比选公告文件。</w:t>
      </w:r>
    </w:p>
    <w:p w14:paraId="267EA09B">
      <w:pPr>
        <w:pStyle w:val="26"/>
        <w:ind w:firstLine="480"/>
        <w:rPr>
          <w:rFonts w:hint="default"/>
        </w:rPr>
      </w:pPr>
      <w:r>
        <w:t>时间要求</w:t>
      </w:r>
    </w:p>
    <w:p w14:paraId="295799CE">
      <w:pPr>
        <w:pStyle w:val="26"/>
        <w:ind w:firstLine="480"/>
        <w:rPr>
          <w:rFonts w:hint="default"/>
        </w:rPr>
      </w:pPr>
      <w:r>
        <w:t>预计开始工作时间：以委托人具体通知为准。</w:t>
      </w:r>
    </w:p>
    <w:p w14:paraId="340DA29B">
      <w:pPr>
        <w:pStyle w:val="26"/>
        <w:ind w:firstLine="480"/>
        <w:rPr>
          <w:rFonts w:hint="default"/>
        </w:rPr>
      </w:pPr>
      <w:r>
        <w:t>标准和规范</w:t>
      </w:r>
    </w:p>
    <w:p w14:paraId="5050D2CA">
      <w:pPr>
        <w:pStyle w:val="26"/>
        <w:ind w:firstLine="482"/>
        <w:rPr>
          <w:rFonts w:hint="default"/>
          <w:b/>
          <w:bCs/>
        </w:rPr>
      </w:pPr>
      <w:r>
        <w:rPr>
          <w:b/>
          <w:bCs/>
        </w:rPr>
        <w:t>（一）通用规范</w:t>
      </w:r>
    </w:p>
    <w:p w14:paraId="658BFE7D">
      <w:pPr>
        <w:pStyle w:val="26"/>
        <w:ind w:firstLine="480"/>
        <w:rPr>
          <w:rFonts w:hint="default"/>
        </w:rPr>
      </w:pPr>
      <w:r>
        <w:t>执行《公路工程施工监理规范》（JTG G10—2016）、《公路工程质量检验评定标准》（JTG F80/1-2017）。</w:t>
      </w:r>
    </w:p>
    <w:p w14:paraId="24312EA8">
      <w:pPr>
        <w:pStyle w:val="26"/>
        <w:ind w:firstLine="482"/>
        <w:rPr>
          <w:rFonts w:hint="default"/>
          <w:b/>
          <w:bCs/>
        </w:rPr>
      </w:pPr>
      <w:r>
        <w:rPr>
          <w:b/>
          <w:bCs/>
        </w:rPr>
        <w:t>（二）专用规范</w:t>
      </w:r>
    </w:p>
    <w:p w14:paraId="0FA92B72">
      <w:pPr>
        <w:pStyle w:val="26"/>
        <w:ind w:firstLine="480"/>
        <w:rPr>
          <w:rFonts w:hint="default"/>
        </w:rPr>
      </w:pPr>
      <w:r>
        <w:t>专用规范由比选人根据工程的实际情况，在《公路工程施工监理规范》（JTG G10—2016）的基础上自行编制并纳入“委托人要求”中，但不得与国家、交通运输部及有关部门的法规、标准、规范等矛盾。</w:t>
      </w:r>
    </w:p>
    <w:p w14:paraId="17893529">
      <w:pPr>
        <w:pStyle w:val="26"/>
        <w:ind w:firstLine="482"/>
        <w:rPr>
          <w:rFonts w:hint="default"/>
          <w:b/>
          <w:bCs/>
        </w:rPr>
      </w:pPr>
      <w:r>
        <w:rPr>
          <w:b/>
          <w:bCs/>
        </w:rPr>
        <w:t>（三）施工技术规范</w:t>
      </w:r>
    </w:p>
    <w:p w14:paraId="60F296FF">
      <w:pPr>
        <w:pStyle w:val="26"/>
        <w:ind w:firstLine="480"/>
        <w:rPr>
          <w:rFonts w:hint="default"/>
        </w:rPr>
      </w:pPr>
      <w:r>
        <w:t>施工技术必须满足交通运输部及有关部分要求。</w:t>
      </w:r>
    </w:p>
    <w:p w14:paraId="701FA7E8">
      <w:pPr>
        <w:pStyle w:val="26"/>
        <w:ind w:firstLine="482"/>
        <w:rPr>
          <w:rFonts w:hint="default"/>
          <w:b/>
          <w:bCs/>
        </w:rPr>
      </w:pPr>
      <w:r>
        <w:rPr>
          <w:b/>
          <w:bCs/>
        </w:rPr>
        <w:t>（四）制度及管理办法</w:t>
      </w:r>
    </w:p>
    <w:p w14:paraId="741B053C">
      <w:pPr>
        <w:pStyle w:val="26"/>
        <w:ind w:firstLine="480"/>
        <w:rPr>
          <w:rFonts w:hint="default"/>
        </w:rPr>
      </w:pPr>
      <w:r>
        <w:t>1、交通运输部《高速公路施工标准化技术指南》</w:t>
      </w:r>
    </w:p>
    <w:p w14:paraId="1C2A39CC">
      <w:pPr>
        <w:pStyle w:val="26"/>
        <w:ind w:firstLine="480"/>
        <w:rPr>
          <w:rFonts w:hint="default"/>
        </w:rPr>
      </w:pPr>
      <w:r>
        <w:t>2、交通运输部办公厅《关于开展绿色公路建设典型示范工程建设的通知》（交办公路函〔2016〕466号）</w:t>
      </w:r>
    </w:p>
    <w:p w14:paraId="13EA9E38">
      <w:pPr>
        <w:pStyle w:val="26"/>
        <w:ind w:firstLine="480"/>
        <w:rPr>
          <w:rFonts w:hint="default"/>
        </w:rPr>
      </w:pPr>
      <w:r>
        <w:t>3、《交通运输部关于实施绿色公路建设的指导意见》（交办公路〔2016〕93 号）</w:t>
      </w:r>
    </w:p>
    <w:p w14:paraId="3FAB0183">
      <w:pPr>
        <w:pStyle w:val="26"/>
        <w:ind w:firstLine="480"/>
        <w:rPr>
          <w:rFonts w:hint="default"/>
        </w:rPr>
      </w:pPr>
      <w:r>
        <w:t>4、《交通运输部关于打造公路水运品质工程的指导意见》（交安监发〔2016〕216 号）</w:t>
      </w:r>
    </w:p>
    <w:p w14:paraId="29BC4084">
      <w:pPr>
        <w:pStyle w:val="26"/>
        <w:ind w:firstLine="480"/>
        <w:rPr>
          <w:rFonts w:hint="default"/>
        </w:rPr>
      </w:pPr>
      <w:r>
        <w:t>5、交通运输部办公厅《关于开展公路水运品质工程示范创建工作的通知》（交办安监〔2016〕193 号）</w:t>
      </w:r>
    </w:p>
    <w:p w14:paraId="3542F926">
      <w:pPr>
        <w:pStyle w:val="26"/>
        <w:ind w:firstLine="480"/>
        <w:rPr>
          <w:rFonts w:hint="default"/>
        </w:rPr>
      </w:pPr>
      <w:r>
        <w:t>6、交通运输部《关于印发推进交通运输生态文明建设实施方案的通知》（交规划发〔2017〕45 号）</w:t>
      </w:r>
    </w:p>
    <w:p w14:paraId="55361C13">
      <w:pPr>
        <w:pStyle w:val="26"/>
        <w:ind w:firstLine="480"/>
        <w:rPr>
          <w:rFonts w:hint="default"/>
        </w:rPr>
      </w:pPr>
      <w:r>
        <w:t>7、交通运输部《关于印发公路工程施工分包管理办法的通知》（交公路发〔2011〕685 号）</w:t>
      </w:r>
    </w:p>
    <w:p w14:paraId="75A9F0ED">
      <w:pPr>
        <w:pStyle w:val="26"/>
        <w:ind w:firstLine="480"/>
        <w:rPr>
          <w:rFonts w:hint="default"/>
        </w:rPr>
      </w:pPr>
      <w:r>
        <w:t>8、交通运输部《关于进一步加强公路水运工程工地试验室管理工作的意见》（厅质监字〔2009〕183号）</w:t>
      </w:r>
    </w:p>
    <w:p w14:paraId="309A91A1">
      <w:pPr>
        <w:pStyle w:val="26"/>
        <w:ind w:firstLine="480"/>
        <w:rPr>
          <w:rFonts w:hint="default"/>
        </w:rPr>
      </w:pPr>
      <w:r>
        <w:t>9、交通运输部办公厅《关于印发工地试验室标准化建设要点的通知》（厅质监字〔2012〕200 号）</w:t>
      </w:r>
    </w:p>
    <w:p w14:paraId="393ADFCC">
      <w:pPr>
        <w:pStyle w:val="26"/>
        <w:ind w:firstLine="480"/>
        <w:rPr>
          <w:rFonts w:hint="default"/>
        </w:rPr>
      </w:pPr>
      <w:r>
        <w:t>10、交通运输部办公厅《关于进一步加强在建公路特大桥梁和特长隧道工程质量安全监管工作的通知》（厅质监字〔2012〕117 号）</w:t>
      </w:r>
    </w:p>
    <w:p w14:paraId="5715B516">
      <w:pPr>
        <w:pStyle w:val="26"/>
        <w:ind w:firstLine="480"/>
        <w:rPr>
          <w:rFonts w:hint="default"/>
        </w:rPr>
      </w:pPr>
      <w:r>
        <w:t>11、《关于进一步加强隧道工程质量和安全监管工作若干意见》（交质监发〔2013〕549号）</w:t>
      </w:r>
    </w:p>
    <w:p w14:paraId="502E465C">
      <w:pPr>
        <w:pStyle w:val="26"/>
        <w:ind w:firstLine="480"/>
        <w:rPr>
          <w:rFonts w:hint="default"/>
        </w:rPr>
      </w:pPr>
      <w:r>
        <w:t>12、《公路工程设计变更管理办法》（交通运输部令 2005 年第 5 号）</w:t>
      </w:r>
    </w:p>
    <w:p w14:paraId="27ACF8B7">
      <w:pPr>
        <w:pStyle w:val="26"/>
        <w:ind w:firstLine="480"/>
        <w:rPr>
          <w:rFonts w:hint="default"/>
        </w:rPr>
      </w:pPr>
      <w:r>
        <w:t>13、《公路工程竣（交）工验收办法》（交通部令 2004 年第 3 号）</w:t>
      </w:r>
    </w:p>
    <w:p w14:paraId="5D24402C">
      <w:pPr>
        <w:pStyle w:val="26"/>
        <w:ind w:firstLine="480"/>
        <w:rPr>
          <w:rFonts w:hint="default"/>
        </w:rPr>
      </w:pPr>
      <w:r>
        <w:t>14、《公路工程设计施工总承包管理办法》（交通运输部令 2015 年第 10 号）</w:t>
      </w:r>
    </w:p>
    <w:p w14:paraId="306764E1">
      <w:pPr>
        <w:pStyle w:val="26"/>
        <w:ind w:firstLine="480"/>
        <w:rPr>
          <w:rFonts w:hint="default"/>
        </w:rPr>
      </w:pPr>
      <w:r>
        <w:t>15、交通运输部《关于印发公路工程竣交工验收办法实施细则的通知》（交公路发〔2010〕65 号）</w:t>
      </w:r>
    </w:p>
    <w:p w14:paraId="49CD8582">
      <w:pPr>
        <w:pStyle w:val="26"/>
        <w:ind w:firstLine="480"/>
        <w:rPr>
          <w:rFonts w:hint="default"/>
        </w:rPr>
      </w:pPr>
      <w:r>
        <w:t>16、交通运输部 国家旅游局 国家铁路局 中国民用航空局 中国铁路总公司国家开发银行《关于促进交通运输与旅游融合发展的若干意见》（交规划发〔2017〕24 号）</w:t>
      </w:r>
    </w:p>
    <w:p w14:paraId="0043CB5D">
      <w:pPr>
        <w:pStyle w:val="26"/>
        <w:ind w:firstLine="480"/>
        <w:rPr>
          <w:rFonts w:hint="default"/>
        </w:rPr>
      </w:pPr>
      <w:r>
        <w:t>17、交通运输部办公厅《关于开展高速公路施工标准化活动总结与考核工作的通知》（厅公路字〔2013〕131 号）</w:t>
      </w:r>
    </w:p>
    <w:p w14:paraId="0FEEEE91">
      <w:pPr>
        <w:pStyle w:val="26"/>
        <w:ind w:firstLine="480"/>
        <w:rPr>
          <w:rFonts w:hint="default"/>
        </w:rPr>
      </w:pPr>
      <w:r>
        <w:t>18、《四川省生产安全事故报告和调查处理规定》（四川省人民政府令第 225 号）</w:t>
      </w:r>
    </w:p>
    <w:p w14:paraId="7339300E">
      <w:pPr>
        <w:pStyle w:val="26"/>
        <w:ind w:firstLine="480"/>
        <w:rPr>
          <w:rFonts w:hint="default"/>
        </w:rPr>
      </w:pPr>
      <w:r>
        <w:t>19、《四川省生产经营单位安全生产责任规定》（四川省人民政府令第 216 号）</w:t>
      </w:r>
    </w:p>
    <w:p w14:paraId="077EC94C">
      <w:pPr>
        <w:pStyle w:val="26"/>
        <w:ind w:firstLine="480"/>
        <w:rPr>
          <w:rFonts w:hint="default"/>
        </w:rPr>
      </w:pPr>
      <w:r>
        <w:t>20、《四川省公路水运建设工程安全生产费用管理办法（试行）》（川交函〔2010〕596 号）</w:t>
      </w:r>
    </w:p>
    <w:p w14:paraId="6B1EE6F3">
      <w:pPr>
        <w:pStyle w:val="26"/>
        <w:ind w:firstLine="480"/>
        <w:rPr>
          <w:rFonts w:hint="default"/>
        </w:rPr>
      </w:pPr>
      <w:r>
        <w:t>21、《四川省公路水运建设工程安全生产监督管理实施办法（试行）》（川交发〔2009〕41 号）</w:t>
      </w:r>
    </w:p>
    <w:p w14:paraId="198F2C8C">
      <w:pPr>
        <w:pStyle w:val="26"/>
        <w:ind w:firstLine="480"/>
        <w:rPr>
          <w:rFonts w:hint="default"/>
        </w:rPr>
      </w:pPr>
      <w:r>
        <w:t>22、四川省交通运输厅《关于印发四川省高速公路施工标准化活动实施方案的通知》（川交函〔2011〕326 号）</w:t>
      </w:r>
    </w:p>
    <w:p w14:paraId="19D29561">
      <w:pPr>
        <w:pStyle w:val="26"/>
        <w:ind w:firstLine="480"/>
        <w:rPr>
          <w:rFonts w:hint="default"/>
        </w:rPr>
      </w:pPr>
      <w:r>
        <w:t>23、四川省交通运输厅《四川省高速公路建设项目设计变更管理办法》（川交发〔2013〕111 号）</w:t>
      </w:r>
    </w:p>
    <w:p w14:paraId="323CB37D">
      <w:pPr>
        <w:pStyle w:val="26"/>
        <w:ind w:firstLine="480"/>
        <w:rPr>
          <w:rFonts w:hint="default"/>
        </w:rPr>
      </w:pPr>
      <w:r>
        <w:t>24、《四川省交通重点项目创建“优质工程”活动实施方案》（川交函〔2013〕250 号）</w:t>
      </w:r>
    </w:p>
    <w:p w14:paraId="3CC7E46B">
      <w:pPr>
        <w:pStyle w:val="26"/>
        <w:ind w:firstLine="480"/>
        <w:rPr>
          <w:rFonts w:hint="default"/>
        </w:rPr>
      </w:pPr>
      <w:r>
        <w:t>25、四川省交通运输厅印发《关于规范高速公路项目建设模式创新试点工作的实施意见》的通知（川交发〔2017〕48 号）</w:t>
      </w:r>
    </w:p>
    <w:p w14:paraId="234F2743">
      <w:pPr>
        <w:pStyle w:val="26"/>
        <w:ind w:firstLine="480"/>
        <w:rPr>
          <w:rFonts w:hint="default"/>
        </w:rPr>
      </w:pPr>
      <w:r>
        <w:t>26、四川省交通运输厅《关于在高速公路及重点水运建设项目推行桩基旋挖施工等“四新技术”的通知》（川交函〔2017〕488 号）</w:t>
      </w:r>
    </w:p>
    <w:p w14:paraId="55741EF7">
      <w:pPr>
        <w:pStyle w:val="26"/>
        <w:ind w:firstLine="480"/>
        <w:rPr>
          <w:rFonts w:hint="default"/>
        </w:rPr>
      </w:pPr>
      <w:r>
        <w:t>27、四川省交通运输厅印发《关于加快推进公路水运品质工程建设的实施意见》的通知（川交函〔2018〕184 号）</w:t>
      </w:r>
    </w:p>
    <w:p w14:paraId="24837E39">
      <w:pPr>
        <w:pStyle w:val="26"/>
        <w:ind w:firstLine="480"/>
        <w:rPr>
          <w:rFonts w:hint="default"/>
        </w:rPr>
      </w:pPr>
      <w:r>
        <w:t>28、四川省交通运输厅关于印发《四川省公路工程施工分包和劳务合作管理实施细则》的通知（川交发〔2022〕5 号）</w:t>
      </w:r>
    </w:p>
    <w:p w14:paraId="660CC804">
      <w:pPr>
        <w:pStyle w:val="26"/>
        <w:ind w:firstLine="480"/>
        <w:rPr>
          <w:rFonts w:hint="default"/>
        </w:rPr>
      </w:pPr>
      <w:r>
        <w:t>29、四川省交通运输厅关于印发《四川省重点公路建设从业单位信用管理办法（2015 年修订）》的通知（川交函﹝2016﹞84 号）</w:t>
      </w:r>
    </w:p>
    <w:p w14:paraId="344ED7E4">
      <w:pPr>
        <w:pStyle w:val="26"/>
        <w:ind w:firstLine="480"/>
        <w:rPr>
          <w:rFonts w:hint="default"/>
        </w:rPr>
      </w:pPr>
      <w:r>
        <w:t>30、四川省交通运输厅关于印发《四川省高速公路工地标准化建设指导意见》的通知（川交函〔2011〕98 号）</w:t>
      </w:r>
    </w:p>
    <w:p w14:paraId="6B25ED0C">
      <w:pPr>
        <w:pStyle w:val="26"/>
        <w:ind w:firstLine="480"/>
        <w:rPr>
          <w:rFonts w:hint="default"/>
        </w:rPr>
      </w:pPr>
      <w:r>
        <w:t>31、《四川省高速公路施工标准化技术指南》（川交函〔2012〕55 号）</w:t>
      </w:r>
    </w:p>
    <w:p w14:paraId="446B1B50">
      <w:pPr>
        <w:pStyle w:val="26"/>
        <w:ind w:firstLine="480"/>
        <w:rPr>
          <w:rFonts w:hint="default"/>
        </w:rPr>
      </w:pPr>
      <w:r>
        <w:t>32、四川省交通运输厅《关于进一步加强我省高速公路房建工程质量管理工作的通知》（川交函〔2013〕417 号）</w:t>
      </w:r>
    </w:p>
    <w:p w14:paraId="19E127FB">
      <w:pPr>
        <w:pStyle w:val="26"/>
        <w:ind w:firstLine="480"/>
        <w:rPr>
          <w:rFonts w:hint="default"/>
        </w:rPr>
      </w:pPr>
      <w:r>
        <w:t>33、四川省交通运输厅《关于开展全省高速公路建设项目创建“优质工程”活动考核工作的通知》（川交函〔2013〕499 号）</w:t>
      </w:r>
    </w:p>
    <w:p w14:paraId="1D5010D4">
      <w:pPr>
        <w:pStyle w:val="26"/>
        <w:ind w:firstLine="480"/>
        <w:rPr>
          <w:rFonts w:hint="default"/>
        </w:rPr>
      </w:pPr>
      <w:r>
        <w:t>34、四川省交通运输厅《关于推行钢筋数控集中加工等四项施工标准化专项技术的通知》（川交函〔2015〕349 号）</w:t>
      </w:r>
    </w:p>
    <w:p w14:paraId="6EB0D201">
      <w:pPr>
        <w:pStyle w:val="26"/>
        <w:ind w:firstLine="480"/>
        <w:rPr>
          <w:rFonts w:hint="default"/>
        </w:rPr>
      </w:pPr>
      <w:r>
        <w:t>35、四川省交通运输厅《关于发布四川省公路水运建设项目禁止、限制使用落后工艺设备、材料目录》（试行）的通知（川交函〔2018〕664 号）</w:t>
      </w:r>
    </w:p>
    <w:p w14:paraId="47466E5C">
      <w:pPr>
        <w:pStyle w:val="26"/>
        <w:ind w:firstLine="480"/>
        <w:rPr>
          <w:rFonts w:hint="default"/>
        </w:rPr>
      </w:pPr>
      <w:r>
        <w:t xml:space="preserve">36、四川省交通运输厅《关于印发高速公路工程质量检测信息监控的工作实施意见的通知》（川交函(2013)248号） </w:t>
      </w:r>
    </w:p>
    <w:p w14:paraId="794EDE80">
      <w:pPr>
        <w:pStyle w:val="26"/>
        <w:ind w:firstLine="480"/>
        <w:rPr>
          <w:rFonts w:hint="default"/>
        </w:rPr>
      </w:pPr>
      <w:r>
        <w:t>39、四川省交通运输厅《关于开展高速公路施工标准化活动考核工作的通知》（川交函〔2013〕498 号）</w:t>
      </w:r>
    </w:p>
    <w:p w14:paraId="37608B2B">
      <w:pPr>
        <w:pStyle w:val="26"/>
        <w:ind w:firstLine="480"/>
        <w:rPr>
          <w:rFonts w:hint="default"/>
        </w:rPr>
      </w:pPr>
      <w:r>
        <w:t>40、四川省交通运输厅《关于进一步加强公路水运建设领域环境保护及污染防治工作的通知》（川交函〔2017〕297 号）</w:t>
      </w:r>
    </w:p>
    <w:p w14:paraId="041A138A">
      <w:pPr>
        <w:pStyle w:val="26"/>
        <w:ind w:firstLine="480"/>
        <w:rPr>
          <w:rFonts w:hint="default"/>
        </w:rPr>
      </w:pPr>
      <w:r>
        <w:t>41、《四川省交通运输厅关于进一步规范我省公路水运建设项目弃土弃渣管理工作的通知》(川交函〔2021〕311号)</w:t>
      </w:r>
    </w:p>
    <w:p w14:paraId="26B3363B">
      <w:pPr>
        <w:pStyle w:val="26"/>
        <w:ind w:firstLine="480"/>
        <w:rPr>
          <w:rFonts w:hint="default"/>
        </w:rPr>
      </w:pPr>
      <w:r>
        <w:t>42、《四川省公路水运工程工地试验室和现场检测项目管理办法》（2022年发布）</w:t>
      </w:r>
    </w:p>
    <w:p w14:paraId="116F88F3">
      <w:pPr>
        <w:pStyle w:val="26"/>
        <w:ind w:firstLine="480"/>
        <w:rPr>
          <w:rFonts w:hint="default"/>
        </w:rPr>
      </w:pPr>
      <w:r>
        <w:t>43、四川省交通运输厅《关于进一步加强全省高速公路建设项目施工监理工作的通知》（川交函【2022】430号）</w:t>
      </w:r>
    </w:p>
    <w:p w14:paraId="31B67E9B">
      <w:pPr>
        <w:pStyle w:val="26"/>
        <w:ind w:firstLine="480"/>
        <w:rPr>
          <w:rFonts w:hint="default"/>
        </w:rPr>
      </w:pPr>
      <w:r>
        <w:t>44、四川省交通运输厅《关于进一步加强全省高速公路建设项目试验检测工作的通知》（川交函【2022】183号）</w:t>
      </w:r>
    </w:p>
    <w:p w14:paraId="4FD1402B">
      <w:pPr>
        <w:pStyle w:val="26"/>
        <w:ind w:firstLine="480"/>
        <w:rPr>
          <w:rFonts w:hint="default"/>
        </w:rPr>
      </w:pPr>
      <w:r>
        <w:t>45、委托人上级主管单位发布的最新管理办法及相关制度。</w:t>
      </w:r>
    </w:p>
    <w:p w14:paraId="6447CFC1">
      <w:pPr>
        <w:pStyle w:val="26"/>
        <w:ind w:firstLine="482"/>
        <w:rPr>
          <w:rFonts w:hint="default"/>
          <w:b/>
          <w:bCs/>
        </w:rPr>
      </w:pPr>
      <w:r>
        <w:rPr>
          <w:b/>
          <w:bCs/>
        </w:rPr>
        <w:t>（五）国家、行业、项目所在地适用本工程的其他规范、标准或规程。</w:t>
      </w:r>
    </w:p>
    <w:p w14:paraId="11EBDA3D">
      <w:pPr>
        <w:pStyle w:val="27"/>
        <w:rPr>
          <w:rFonts w:hint="default"/>
        </w:rPr>
      </w:pPr>
      <w:r>
        <w:t>四、成果文件要求</w:t>
      </w:r>
    </w:p>
    <w:p w14:paraId="280BC86E">
      <w:pPr>
        <w:pStyle w:val="26"/>
        <w:ind w:firstLine="480"/>
        <w:rPr>
          <w:rFonts w:hint="default"/>
        </w:rPr>
      </w:pPr>
      <w:r>
        <w:t>下述要求均见委托人管理办法。</w:t>
      </w:r>
    </w:p>
    <w:p w14:paraId="318A3C72">
      <w:pPr>
        <w:pStyle w:val="26"/>
        <w:ind w:firstLine="480"/>
        <w:rPr>
          <w:rFonts w:hint="default"/>
        </w:rPr>
      </w:pPr>
      <w:r>
        <w:t>（一）成果文件的组成</w:t>
      </w:r>
    </w:p>
    <w:p w14:paraId="19B9361F">
      <w:pPr>
        <w:pStyle w:val="26"/>
        <w:ind w:firstLine="480"/>
        <w:rPr>
          <w:rFonts w:hint="default"/>
        </w:rPr>
      </w:pPr>
      <w:r>
        <w:t>（二） 成果文件的深度</w:t>
      </w:r>
    </w:p>
    <w:p w14:paraId="1981DF54">
      <w:pPr>
        <w:pStyle w:val="26"/>
        <w:ind w:firstLine="480"/>
        <w:rPr>
          <w:rFonts w:hint="default"/>
        </w:rPr>
      </w:pPr>
      <w:r>
        <w:t>（三）成果文件的格式要求</w:t>
      </w:r>
    </w:p>
    <w:p w14:paraId="03316A23">
      <w:pPr>
        <w:pStyle w:val="26"/>
        <w:ind w:firstLine="480"/>
        <w:rPr>
          <w:rFonts w:hint="default"/>
        </w:rPr>
      </w:pPr>
      <w:r>
        <w:t>（四）成果文件的份数要求</w:t>
      </w:r>
    </w:p>
    <w:p w14:paraId="5CCE6584">
      <w:pPr>
        <w:pStyle w:val="26"/>
        <w:ind w:firstLine="480"/>
        <w:rPr>
          <w:rFonts w:hint="default"/>
        </w:rPr>
      </w:pPr>
      <w:r>
        <w:t>（五）成果文件的载体要求</w:t>
      </w:r>
    </w:p>
    <w:p w14:paraId="34B62CE5">
      <w:pPr>
        <w:pStyle w:val="26"/>
        <w:ind w:firstLine="480"/>
        <w:rPr>
          <w:rFonts w:hint="default"/>
        </w:rPr>
      </w:pPr>
      <w:r>
        <w:t>1.纸质版的要求</w:t>
      </w:r>
    </w:p>
    <w:p w14:paraId="51CF08B5">
      <w:pPr>
        <w:pStyle w:val="26"/>
        <w:ind w:firstLine="480"/>
        <w:rPr>
          <w:rFonts w:hint="default"/>
        </w:rPr>
      </w:pPr>
      <w:r>
        <w:t>2.电子版的要求</w:t>
      </w:r>
    </w:p>
    <w:p w14:paraId="0DFD5A3C">
      <w:pPr>
        <w:pStyle w:val="26"/>
        <w:ind w:firstLine="480"/>
        <w:rPr>
          <w:rFonts w:hint="default"/>
        </w:rPr>
      </w:pPr>
      <w:r>
        <w:t>3.其他要求</w:t>
      </w:r>
    </w:p>
    <w:p w14:paraId="53F5EAC3">
      <w:pPr>
        <w:pStyle w:val="26"/>
        <w:ind w:firstLine="480"/>
        <w:rPr>
          <w:rFonts w:hint="default"/>
        </w:rPr>
      </w:pPr>
      <w:r>
        <w:t>（六）成果文件的其他要求</w:t>
      </w:r>
    </w:p>
    <w:p w14:paraId="087A6834">
      <w:pPr>
        <w:pStyle w:val="26"/>
        <w:ind w:firstLine="480"/>
        <w:rPr>
          <w:rFonts w:hint="default"/>
        </w:rPr>
      </w:pPr>
      <w:r>
        <w:t>五、监理试验室单位需要自备的工作条件</w:t>
      </w:r>
    </w:p>
    <w:p w14:paraId="79532756">
      <w:pPr>
        <w:pStyle w:val="26"/>
        <w:ind w:firstLine="480"/>
        <w:rPr>
          <w:rFonts w:hint="default"/>
        </w:rPr>
      </w:pPr>
      <w:r>
        <w:t>（一）监理试验室单位自备的工作手册：如本项目必备的规范标准、图集等</w:t>
      </w:r>
    </w:p>
    <w:p w14:paraId="3ECE3E05">
      <w:pPr>
        <w:pStyle w:val="26"/>
        <w:ind w:firstLine="480"/>
        <w:rPr>
          <w:rFonts w:hint="default"/>
        </w:rPr>
      </w:pPr>
      <w:r>
        <w:t>（二）监理试验室单位自备的办公设备：如电脑、软件、投影、打印机、复印机、照相，具体配置见监理服务费用清单，但需满足现场需要。</w:t>
      </w:r>
    </w:p>
    <w:p w14:paraId="31F95F57">
      <w:pPr>
        <w:pStyle w:val="26"/>
        <w:ind w:firstLine="480"/>
        <w:rPr>
          <w:rFonts w:hint="default"/>
        </w:rPr>
      </w:pPr>
      <w:r>
        <w:t>（三）监理试验室单位自备的交通工具：如出行车辆等，需满足现场实际需要。</w:t>
      </w:r>
    </w:p>
    <w:p w14:paraId="25E7EC21">
      <w:pPr>
        <w:pStyle w:val="26"/>
        <w:ind w:firstLine="480"/>
        <w:rPr>
          <w:rFonts w:hint="default"/>
        </w:rPr>
      </w:pPr>
      <w:r>
        <w:t>（四）监理试验室单位自备的现场办公设施：如办公桌椅、文件柜等</w:t>
      </w:r>
    </w:p>
    <w:p w14:paraId="154B3A9F">
      <w:pPr>
        <w:pStyle w:val="26"/>
        <w:ind w:firstLine="480"/>
        <w:rPr>
          <w:rFonts w:hint="default"/>
        </w:rPr>
      </w:pPr>
      <w:r>
        <w:t>（五）监理试验室单位自备的安全设施：如安全帽、安全鞋、手电筒等，应满足现场实际需要。</w:t>
      </w:r>
    </w:p>
    <w:p w14:paraId="41532375">
      <w:pPr>
        <w:pStyle w:val="26"/>
        <w:ind w:firstLine="480"/>
        <w:rPr>
          <w:rFonts w:hint="default"/>
        </w:rPr>
      </w:pPr>
      <w:r>
        <w:t>（六）监理试验室单位自备的试验检测仪器、设备、工具满足现场实际需要。</w:t>
      </w:r>
    </w:p>
    <w:p w14:paraId="2FC725A0">
      <w:pPr>
        <w:pStyle w:val="26"/>
        <w:ind w:firstLine="480"/>
        <w:rPr>
          <w:rFonts w:hint="default"/>
        </w:rPr>
      </w:pPr>
      <w:r>
        <w:t>（七）监理试验室单位自备的办公、生活、试验用房、样品用房满足现场实际需要。</w:t>
      </w:r>
    </w:p>
    <w:p w14:paraId="0BC0235A">
      <w:pPr>
        <w:pStyle w:val="55"/>
        <w:tabs>
          <w:tab w:val="left" w:pos="1059"/>
          <w:tab w:val="left" w:pos="1687"/>
          <w:tab w:val="left" w:pos="2319"/>
          <w:tab w:val="left" w:pos="4419"/>
          <w:tab w:val="left" w:pos="5364"/>
          <w:tab w:val="left" w:pos="5993"/>
          <w:tab w:val="left" w:pos="6624"/>
        </w:tabs>
        <w:snapToGrid w:val="0"/>
        <w:spacing w:before="5" w:line="280" w:lineRule="exact"/>
        <w:rPr>
          <w:rStyle w:val="41"/>
          <w:sz w:val="28"/>
        </w:rPr>
      </w:pPr>
    </w:p>
    <w:p w14:paraId="5DD48B1A">
      <w:pPr>
        <w:snapToGrid w:val="0"/>
        <w:spacing w:line="200" w:lineRule="exact"/>
        <w:rPr>
          <w:rStyle w:val="41"/>
          <w:rFonts w:ascii="宋体"/>
          <w:sz w:val="20"/>
        </w:rPr>
      </w:pPr>
    </w:p>
    <w:p w14:paraId="34A62492">
      <w:pPr>
        <w:snapToGrid w:val="0"/>
        <w:spacing w:line="200" w:lineRule="exact"/>
        <w:rPr>
          <w:rStyle w:val="41"/>
          <w:rFonts w:ascii="宋体"/>
          <w:sz w:val="20"/>
        </w:rPr>
      </w:pPr>
    </w:p>
    <w:p w14:paraId="37C9D6D1">
      <w:pPr>
        <w:snapToGrid w:val="0"/>
        <w:spacing w:line="200" w:lineRule="exact"/>
        <w:rPr>
          <w:rStyle w:val="41"/>
          <w:rFonts w:ascii="宋体"/>
          <w:sz w:val="20"/>
        </w:rPr>
      </w:pPr>
    </w:p>
    <w:p w14:paraId="0E92F902">
      <w:pPr>
        <w:snapToGrid w:val="0"/>
        <w:spacing w:line="200" w:lineRule="exact"/>
        <w:rPr>
          <w:rStyle w:val="41"/>
          <w:rFonts w:ascii="宋体"/>
          <w:sz w:val="20"/>
        </w:rPr>
      </w:pPr>
    </w:p>
    <w:p w14:paraId="05C171D0">
      <w:pPr>
        <w:snapToGrid w:val="0"/>
        <w:spacing w:line="200" w:lineRule="exact"/>
        <w:rPr>
          <w:rStyle w:val="41"/>
          <w:rFonts w:ascii="宋体"/>
          <w:sz w:val="20"/>
        </w:rPr>
      </w:pPr>
    </w:p>
    <w:p w14:paraId="6E3AA95C">
      <w:pPr>
        <w:snapToGrid w:val="0"/>
        <w:spacing w:line="200" w:lineRule="exact"/>
        <w:rPr>
          <w:rStyle w:val="41"/>
          <w:rFonts w:ascii="宋体"/>
          <w:sz w:val="20"/>
        </w:rPr>
      </w:pPr>
    </w:p>
    <w:p w14:paraId="3F984453">
      <w:pPr>
        <w:snapToGrid w:val="0"/>
        <w:spacing w:line="200" w:lineRule="exact"/>
        <w:rPr>
          <w:rStyle w:val="41"/>
          <w:rFonts w:ascii="宋体"/>
          <w:sz w:val="20"/>
        </w:rPr>
      </w:pPr>
    </w:p>
    <w:p w14:paraId="4F0DD7F4">
      <w:pPr>
        <w:snapToGrid w:val="0"/>
        <w:spacing w:line="200" w:lineRule="exact"/>
        <w:rPr>
          <w:rStyle w:val="41"/>
          <w:rFonts w:ascii="宋体"/>
          <w:sz w:val="20"/>
        </w:rPr>
      </w:pPr>
    </w:p>
    <w:p w14:paraId="512D0D52">
      <w:pPr>
        <w:snapToGrid w:val="0"/>
        <w:spacing w:line="200" w:lineRule="exact"/>
        <w:rPr>
          <w:rStyle w:val="41"/>
          <w:rFonts w:ascii="宋体"/>
          <w:sz w:val="20"/>
        </w:rPr>
      </w:pPr>
    </w:p>
    <w:p w14:paraId="32BB2B12">
      <w:pPr>
        <w:snapToGrid w:val="0"/>
        <w:spacing w:line="200" w:lineRule="exact"/>
        <w:rPr>
          <w:rStyle w:val="41"/>
          <w:rFonts w:ascii="宋体"/>
          <w:sz w:val="20"/>
        </w:rPr>
      </w:pPr>
    </w:p>
    <w:p w14:paraId="1517C895">
      <w:pPr>
        <w:snapToGrid w:val="0"/>
        <w:spacing w:line="200" w:lineRule="exact"/>
        <w:rPr>
          <w:rStyle w:val="41"/>
          <w:rFonts w:ascii="宋体"/>
          <w:sz w:val="20"/>
        </w:rPr>
      </w:pPr>
    </w:p>
    <w:p w14:paraId="0281F3A6">
      <w:pPr>
        <w:snapToGrid w:val="0"/>
        <w:spacing w:line="200" w:lineRule="exact"/>
        <w:rPr>
          <w:rStyle w:val="41"/>
          <w:rFonts w:ascii="宋体"/>
          <w:sz w:val="20"/>
        </w:rPr>
      </w:pPr>
    </w:p>
    <w:p w14:paraId="46B289A6">
      <w:pPr>
        <w:snapToGrid w:val="0"/>
        <w:spacing w:line="200" w:lineRule="exact"/>
        <w:rPr>
          <w:rStyle w:val="41"/>
          <w:rFonts w:ascii="宋体"/>
          <w:sz w:val="20"/>
        </w:rPr>
      </w:pPr>
    </w:p>
    <w:p w14:paraId="790DE136">
      <w:pPr>
        <w:snapToGrid w:val="0"/>
        <w:spacing w:line="200" w:lineRule="exact"/>
        <w:rPr>
          <w:rStyle w:val="41"/>
          <w:rFonts w:ascii="宋体"/>
          <w:sz w:val="20"/>
        </w:rPr>
      </w:pPr>
    </w:p>
    <w:p w14:paraId="3C345543">
      <w:pPr>
        <w:snapToGrid w:val="0"/>
        <w:spacing w:line="200" w:lineRule="exact"/>
        <w:rPr>
          <w:rStyle w:val="41"/>
          <w:rFonts w:ascii="宋体"/>
          <w:sz w:val="20"/>
        </w:rPr>
      </w:pPr>
    </w:p>
    <w:p w14:paraId="1027F9E2">
      <w:pPr>
        <w:snapToGrid w:val="0"/>
        <w:spacing w:line="200" w:lineRule="exact"/>
        <w:rPr>
          <w:rStyle w:val="41"/>
          <w:rFonts w:ascii="宋体"/>
          <w:sz w:val="20"/>
        </w:rPr>
      </w:pPr>
    </w:p>
    <w:p w14:paraId="209CA5E0">
      <w:pPr>
        <w:snapToGrid w:val="0"/>
        <w:spacing w:line="200" w:lineRule="exact"/>
        <w:rPr>
          <w:rStyle w:val="41"/>
          <w:rFonts w:ascii="宋体"/>
          <w:sz w:val="20"/>
        </w:rPr>
      </w:pPr>
    </w:p>
    <w:p w14:paraId="15C834D4">
      <w:pPr>
        <w:snapToGrid w:val="0"/>
        <w:spacing w:line="200" w:lineRule="exact"/>
        <w:rPr>
          <w:rStyle w:val="41"/>
          <w:rFonts w:ascii="宋体"/>
          <w:sz w:val="20"/>
        </w:rPr>
      </w:pPr>
    </w:p>
    <w:p w14:paraId="6B7AA7F1">
      <w:pPr>
        <w:snapToGrid w:val="0"/>
        <w:spacing w:line="200" w:lineRule="exact"/>
        <w:rPr>
          <w:rStyle w:val="41"/>
          <w:rFonts w:ascii="宋体"/>
          <w:sz w:val="20"/>
        </w:rPr>
      </w:pPr>
    </w:p>
    <w:p w14:paraId="6982420F">
      <w:pPr>
        <w:snapToGrid w:val="0"/>
        <w:spacing w:line="200" w:lineRule="exact"/>
        <w:rPr>
          <w:rStyle w:val="41"/>
          <w:rFonts w:ascii="宋体"/>
          <w:sz w:val="20"/>
        </w:rPr>
      </w:pPr>
    </w:p>
    <w:p w14:paraId="4A5D4730">
      <w:pPr>
        <w:snapToGrid w:val="0"/>
        <w:spacing w:line="200" w:lineRule="exact"/>
        <w:rPr>
          <w:rStyle w:val="41"/>
          <w:rFonts w:ascii="宋体"/>
          <w:sz w:val="20"/>
        </w:rPr>
      </w:pPr>
    </w:p>
    <w:p w14:paraId="7159851C">
      <w:pPr>
        <w:snapToGrid w:val="0"/>
        <w:spacing w:line="200" w:lineRule="exact"/>
        <w:rPr>
          <w:rStyle w:val="41"/>
          <w:rFonts w:ascii="宋体"/>
          <w:sz w:val="20"/>
        </w:rPr>
      </w:pPr>
    </w:p>
    <w:p w14:paraId="4F4C49B9">
      <w:pPr>
        <w:pStyle w:val="35"/>
        <w:tabs>
          <w:tab w:val="left" w:pos="4764"/>
        </w:tabs>
        <w:snapToGrid w:val="0"/>
        <w:spacing w:line="200" w:lineRule="exact"/>
        <w:rPr>
          <w:rStyle w:val="41"/>
          <w:rFonts w:ascii="宋体"/>
          <w:sz w:val="20"/>
        </w:rPr>
      </w:pPr>
    </w:p>
    <w:p w14:paraId="32F0D821">
      <w:pPr>
        <w:snapToGrid w:val="0"/>
        <w:spacing w:before="19" w:line="220" w:lineRule="exact"/>
        <w:rPr>
          <w:rStyle w:val="41"/>
          <w:rFonts w:ascii="宋体"/>
          <w:sz w:val="22"/>
        </w:rPr>
      </w:pPr>
    </w:p>
    <w:p w14:paraId="231D0B11">
      <w:pPr>
        <w:pStyle w:val="55"/>
        <w:snapToGrid w:val="0"/>
        <w:spacing w:line="464" w:lineRule="auto"/>
        <w:ind w:right="114" w:firstLine="525"/>
        <w:rPr>
          <w:rStyle w:val="41"/>
          <w:rFonts w:hAnsi="宋体"/>
          <w:spacing w:val="2"/>
        </w:rPr>
      </w:pPr>
    </w:p>
    <w:p w14:paraId="01D29E99">
      <w:pPr>
        <w:rPr>
          <w:rStyle w:val="41"/>
          <w:rFonts w:ascii="宋体" w:hAnsi="宋体"/>
          <w:spacing w:val="2"/>
          <w:sz w:val="52"/>
        </w:rPr>
      </w:pPr>
      <w:bookmarkStart w:id="32" w:name="_Toc9839_WPSOffice_Level1"/>
      <w:r>
        <w:rPr>
          <w:rStyle w:val="41"/>
          <w:rFonts w:ascii="宋体" w:hAnsi="宋体"/>
          <w:spacing w:val="2"/>
          <w:sz w:val="52"/>
        </w:rPr>
        <w:br w:type="page"/>
      </w:r>
    </w:p>
    <w:p w14:paraId="248C30CC">
      <w:pPr>
        <w:pStyle w:val="5"/>
      </w:pPr>
    </w:p>
    <w:p w14:paraId="5B7FEE74">
      <w:pPr>
        <w:pStyle w:val="5"/>
      </w:pPr>
    </w:p>
    <w:p w14:paraId="2524E6DD">
      <w:pPr>
        <w:pStyle w:val="5"/>
      </w:pPr>
    </w:p>
    <w:p w14:paraId="542729E1">
      <w:pPr>
        <w:pStyle w:val="5"/>
      </w:pPr>
    </w:p>
    <w:p w14:paraId="4126FEBF">
      <w:pPr>
        <w:pStyle w:val="5"/>
      </w:pPr>
    </w:p>
    <w:p w14:paraId="5D93C840">
      <w:pPr>
        <w:pStyle w:val="5"/>
      </w:pPr>
    </w:p>
    <w:p w14:paraId="0418B1A6">
      <w:pPr>
        <w:pStyle w:val="5"/>
      </w:pPr>
    </w:p>
    <w:p w14:paraId="588576B8">
      <w:pPr>
        <w:pStyle w:val="5"/>
      </w:pPr>
    </w:p>
    <w:p w14:paraId="50983E8F">
      <w:pPr>
        <w:pStyle w:val="5"/>
      </w:pPr>
      <w:r>
        <w:t>第</w:t>
      </w:r>
      <w:r>
        <w:rPr>
          <w:rFonts w:hint="eastAsia"/>
        </w:rPr>
        <w:t>六</w:t>
      </w:r>
      <w:r>
        <w:t>章</w:t>
      </w:r>
      <w:r>
        <w:rPr>
          <w:rFonts w:hint="eastAsia"/>
        </w:rPr>
        <w:t xml:space="preserve"> </w:t>
      </w:r>
      <w:r>
        <w:tab/>
      </w:r>
      <w:r>
        <w:t>比选申请文件格式</w:t>
      </w:r>
      <w:bookmarkEnd w:id="32"/>
    </w:p>
    <w:p w14:paraId="788174A2">
      <w:pPr>
        <w:snapToGrid w:val="0"/>
        <w:spacing w:before="5" w:line="190" w:lineRule="exact"/>
        <w:rPr>
          <w:rStyle w:val="41"/>
          <w:rFonts w:ascii="宋体"/>
          <w:sz w:val="19"/>
        </w:rPr>
      </w:pPr>
    </w:p>
    <w:p w14:paraId="0091AF25">
      <w:pPr>
        <w:snapToGrid w:val="0"/>
        <w:spacing w:line="200" w:lineRule="exact"/>
        <w:rPr>
          <w:rStyle w:val="41"/>
          <w:rFonts w:ascii="宋体"/>
          <w:sz w:val="20"/>
        </w:rPr>
      </w:pPr>
    </w:p>
    <w:p w14:paraId="2B2F558C">
      <w:pPr>
        <w:snapToGrid w:val="0"/>
        <w:spacing w:line="200" w:lineRule="exact"/>
        <w:rPr>
          <w:rStyle w:val="41"/>
          <w:rFonts w:ascii="宋体"/>
          <w:sz w:val="20"/>
        </w:rPr>
      </w:pPr>
    </w:p>
    <w:p w14:paraId="62B22AF4">
      <w:pPr>
        <w:snapToGrid w:val="0"/>
        <w:spacing w:line="200" w:lineRule="exact"/>
        <w:rPr>
          <w:rStyle w:val="41"/>
          <w:rFonts w:ascii="宋体"/>
          <w:sz w:val="20"/>
        </w:rPr>
      </w:pPr>
    </w:p>
    <w:p w14:paraId="43E54C8A">
      <w:pPr>
        <w:snapToGrid w:val="0"/>
        <w:spacing w:before="4" w:line="180" w:lineRule="exact"/>
        <w:rPr>
          <w:rStyle w:val="41"/>
          <w:rFonts w:ascii="宋体"/>
          <w:sz w:val="18"/>
        </w:rPr>
      </w:pPr>
      <w:r>
        <w:rPr>
          <w:rStyle w:val="41"/>
          <w:rFonts w:ascii="宋体"/>
          <w:sz w:val="18"/>
        </w:rPr>
        <w:br w:type="page"/>
      </w:r>
    </w:p>
    <w:p w14:paraId="15645713">
      <w:pPr>
        <w:snapToGrid w:val="0"/>
        <w:spacing w:before="4" w:line="180" w:lineRule="exact"/>
        <w:rPr>
          <w:rStyle w:val="41"/>
          <w:rFonts w:ascii="宋体"/>
          <w:sz w:val="18"/>
        </w:rPr>
      </w:pPr>
    </w:p>
    <w:p w14:paraId="6ADDFA0A">
      <w:pPr>
        <w:snapToGrid w:val="0"/>
        <w:spacing w:line="200" w:lineRule="exact"/>
        <w:rPr>
          <w:rStyle w:val="41"/>
          <w:rFonts w:ascii="宋体"/>
          <w:sz w:val="20"/>
        </w:rPr>
      </w:pPr>
    </w:p>
    <w:p w14:paraId="051EB657">
      <w:pPr>
        <w:snapToGrid w:val="0"/>
        <w:spacing w:line="200" w:lineRule="exact"/>
        <w:rPr>
          <w:rStyle w:val="41"/>
          <w:rFonts w:ascii="宋体"/>
          <w:sz w:val="20"/>
        </w:rPr>
      </w:pPr>
    </w:p>
    <w:p w14:paraId="4EBF6BA9">
      <w:pPr>
        <w:pStyle w:val="5"/>
      </w:pPr>
      <w:r>
        <w:rPr>
          <w:rFonts w:hint="eastAsia"/>
        </w:rPr>
        <w:t>G0611川主寺至汶川段高速公路项目</w:t>
      </w:r>
    </w:p>
    <w:p w14:paraId="4BB90AD2">
      <w:pPr>
        <w:pStyle w:val="5"/>
      </w:pPr>
      <w:r>
        <w:rPr>
          <w:rFonts w:hint="eastAsia"/>
        </w:rPr>
        <w:t>先期开工点施工监理试验室</w:t>
      </w:r>
      <w:r>
        <w:t xml:space="preserve">  </w:t>
      </w:r>
    </w:p>
    <w:p w14:paraId="3744A221">
      <w:pPr>
        <w:snapToGrid w:val="0"/>
        <w:spacing w:line="360" w:lineRule="auto"/>
        <w:rPr>
          <w:rStyle w:val="41"/>
          <w:rFonts w:ascii="宋体"/>
          <w:sz w:val="20"/>
        </w:rPr>
      </w:pPr>
    </w:p>
    <w:p w14:paraId="44F9A375">
      <w:pPr>
        <w:pStyle w:val="32"/>
        <w:snapToGrid w:val="0"/>
        <w:ind w:left="480" w:firstLine="480"/>
        <w:rPr>
          <w:rStyle w:val="41"/>
        </w:rPr>
      </w:pPr>
    </w:p>
    <w:p w14:paraId="14419EA4">
      <w:pPr>
        <w:snapToGrid w:val="0"/>
        <w:spacing w:line="200" w:lineRule="exact"/>
        <w:rPr>
          <w:rStyle w:val="41"/>
          <w:rFonts w:ascii="宋体"/>
          <w:sz w:val="20"/>
        </w:rPr>
      </w:pPr>
    </w:p>
    <w:p w14:paraId="63AB972E">
      <w:pPr>
        <w:snapToGrid w:val="0"/>
        <w:spacing w:line="200" w:lineRule="exact"/>
        <w:rPr>
          <w:rStyle w:val="41"/>
          <w:rFonts w:ascii="宋体"/>
          <w:sz w:val="20"/>
        </w:rPr>
      </w:pPr>
    </w:p>
    <w:p w14:paraId="4A43AFA6">
      <w:pPr>
        <w:snapToGrid w:val="0"/>
        <w:spacing w:line="200" w:lineRule="exact"/>
        <w:rPr>
          <w:rStyle w:val="41"/>
          <w:rFonts w:ascii="宋体"/>
          <w:sz w:val="20"/>
        </w:rPr>
      </w:pPr>
    </w:p>
    <w:p w14:paraId="77A99BA9">
      <w:pPr>
        <w:snapToGrid w:val="0"/>
        <w:spacing w:line="200" w:lineRule="exact"/>
        <w:rPr>
          <w:rStyle w:val="41"/>
          <w:rFonts w:ascii="宋体"/>
          <w:sz w:val="20"/>
        </w:rPr>
      </w:pPr>
    </w:p>
    <w:p w14:paraId="27E42263">
      <w:pPr>
        <w:snapToGrid w:val="0"/>
        <w:spacing w:line="200" w:lineRule="exact"/>
        <w:rPr>
          <w:rStyle w:val="41"/>
          <w:rFonts w:ascii="宋体"/>
          <w:sz w:val="20"/>
        </w:rPr>
      </w:pPr>
    </w:p>
    <w:p w14:paraId="32DBB895">
      <w:pPr>
        <w:snapToGrid w:val="0"/>
        <w:spacing w:line="200" w:lineRule="exact"/>
        <w:rPr>
          <w:rStyle w:val="41"/>
          <w:rFonts w:ascii="宋体"/>
          <w:sz w:val="20"/>
        </w:rPr>
      </w:pPr>
    </w:p>
    <w:p w14:paraId="74E38576">
      <w:pPr>
        <w:snapToGrid w:val="0"/>
        <w:spacing w:line="200" w:lineRule="exact"/>
        <w:rPr>
          <w:rStyle w:val="41"/>
          <w:rFonts w:ascii="宋体"/>
          <w:sz w:val="20"/>
        </w:rPr>
      </w:pPr>
    </w:p>
    <w:p w14:paraId="39E9DF15">
      <w:pPr>
        <w:pStyle w:val="32"/>
        <w:snapToGrid w:val="0"/>
        <w:ind w:left="480" w:firstLine="480"/>
        <w:rPr>
          <w:rStyle w:val="41"/>
        </w:rPr>
      </w:pPr>
    </w:p>
    <w:p w14:paraId="5DF7A5CF">
      <w:pPr>
        <w:snapToGrid w:val="0"/>
        <w:spacing w:line="200" w:lineRule="exact"/>
        <w:rPr>
          <w:rStyle w:val="41"/>
          <w:rFonts w:ascii="宋体"/>
          <w:sz w:val="20"/>
        </w:rPr>
      </w:pPr>
    </w:p>
    <w:p w14:paraId="36F4F5FA">
      <w:pPr>
        <w:snapToGrid w:val="0"/>
        <w:spacing w:line="200" w:lineRule="exact"/>
        <w:rPr>
          <w:rStyle w:val="41"/>
          <w:rFonts w:ascii="宋体"/>
          <w:sz w:val="20"/>
        </w:rPr>
      </w:pPr>
    </w:p>
    <w:p w14:paraId="091FEA82">
      <w:pPr>
        <w:snapToGrid w:val="0"/>
        <w:spacing w:line="200" w:lineRule="exact"/>
        <w:rPr>
          <w:rStyle w:val="41"/>
          <w:rFonts w:ascii="宋体"/>
          <w:sz w:val="20"/>
        </w:rPr>
      </w:pPr>
    </w:p>
    <w:p w14:paraId="4AF22B37">
      <w:pPr>
        <w:snapToGrid w:val="0"/>
        <w:spacing w:line="200" w:lineRule="exact"/>
        <w:rPr>
          <w:rStyle w:val="41"/>
          <w:rFonts w:ascii="宋体"/>
          <w:sz w:val="20"/>
        </w:rPr>
      </w:pPr>
    </w:p>
    <w:p w14:paraId="1F706115">
      <w:pPr>
        <w:snapToGrid w:val="0"/>
        <w:spacing w:line="200" w:lineRule="exact"/>
        <w:rPr>
          <w:rStyle w:val="41"/>
          <w:rFonts w:ascii="宋体"/>
          <w:sz w:val="20"/>
        </w:rPr>
      </w:pPr>
    </w:p>
    <w:p w14:paraId="48293D50">
      <w:pPr>
        <w:snapToGrid w:val="0"/>
        <w:spacing w:line="200" w:lineRule="exact"/>
        <w:rPr>
          <w:rStyle w:val="41"/>
          <w:rFonts w:ascii="宋体"/>
          <w:sz w:val="20"/>
        </w:rPr>
      </w:pPr>
    </w:p>
    <w:p w14:paraId="2259EAD6">
      <w:pPr>
        <w:snapToGrid w:val="0"/>
        <w:spacing w:before="12" w:line="260" w:lineRule="exact"/>
        <w:rPr>
          <w:rStyle w:val="41"/>
          <w:rFonts w:ascii="宋体"/>
          <w:sz w:val="26"/>
        </w:rPr>
      </w:pPr>
    </w:p>
    <w:p w14:paraId="2A8D51EF">
      <w:pPr>
        <w:tabs>
          <w:tab w:val="left" w:pos="1043"/>
          <w:tab w:val="left" w:pos="2087"/>
          <w:tab w:val="left" w:pos="3131"/>
        </w:tabs>
        <w:snapToGrid w:val="0"/>
        <w:ind w:right="1"/>
        <w:jc w:val="center"/>
        <w:rPr>
          <w:rStyle w:val="41"/>
          <w:rFonts w:ascii="宋体"/>
          <w:sz w:val="52"/>
        </w:rPr>
      </w:pPr>
      <w:bookmarkStart w:id="33" w:name="_Toc460_WPSOffice_Level1"/>
      <w:r>
        <w:rPr>
          <w:rStyle w:val="41"/>
          <w:rFonts w:ascii="宋体" w:hAnsi="宋体"/>
          <w:sz w:val="52"/>
        </w:rPr>
        <w:t>比选申请</w:t>
      </w:r>
      <w:r>
        <w:rPr>
          <w:rStyle w:val="41"/>
          <w:rFonts w:ascii="宋体"/>
          <w:sz w:val="52"/>
        </w:rPr>
        <w:tab/>
      </w:r>
      <w:r>
        <w:rPr>
          <w:rStyle w:val="41"/>
          <w:rFonts w:ascii="宋体" w:hAnsi="宋体"/>
          <w:sz w:val="52"/>
        </w:rPr>
        <w:t>文件</w:t>
      </w:r>
      <w:bookmarkEnd w:id="33"/>
    </w:p>
    <w:p w14:paraId="4BB3A434">
      <w:pPr>
        <w:snapToGrid w:val="0"/>
        <w:spacing w:before="16" w:line="280" w:lineRule="exact"/>
        <w:rPr>
          <w:rStyle w:val="41"/>
          <w:rFonts w:ascii="宋体"/>
          <w:sz w:val="28"/>
        </w:rPr>
      </w:pPr>
    </w:p>
    <w:p w14:paraId="78F88D4B">
      <w:pPr>
        <w:snapToGrid w:val="0"/>
        <w:spacing w:line="200" w:lineRule="exact"/>
        <w:rPr>
          <w:rStyle w:val="41"/>
          <w:rFonts w:ascii="宋体"/>
          <w:sz w:val="20"/>
        </w:rPr>
      </w:pPr>
    </w:p>
    <w:p w14:paraId="13273539">
      <w:pPr>
        <w:snapToGrid w:val="0"/>
        <w:spacing w:line="200" w:lineRule="exact"/>
        <w:rPr>
          <w:rStyle w:val="41"/>
          <w:rFonts w:ascii="宋体"/>
          <w:sz w:val="20"/>
        </w:rPr>
      </w:pPr>
    </w:p>
    <w:p w14:paraId="15F2B09D">
      <w:pPr>
        <w:snapToGrid w:val="0"/>
        <w:spacing w:line="200" w:lineRule="exact"/>
        <w:rPr>
          <w:rStyle w:val="41"/>
          <w:rFonts w:ascii="宋体"/>
          <w:sz w:val="20"/>
        </w:rPr>
      </w:pPr>
    </w:p>
    <w:p w14:paraId="1D2C3576">
      <w:pPr>
        <w:snapToGrid w:val="0"/>
        <w:spacing w:line="200" w:lineRule="exact"/>
        <w:rPr>
          <w:rStyle w:val="41"/>
          <w:rFonts w:ascii="宋体"/>
          <w:sz w:val="20"/>
        </w:rPr>
      </w:pPr>
    </w:p>
    <w:p w14:paraId="7CB698C4">
      <w:pPr>
        <w:snapToGrid w:val="0"/>
        <w:spacing w:line="200" w:lineRule="exact"/>
        <w:rPr>
          <w:rStyle w:val="41"/>
          <w:rFonts w:ascii="宋体"/>
          <w:sz w:val="20"/>
        </w:rPr>
      </w:pPr>
    </w:p>
    <w:p w14:paraId="02209011">
      <w:pPr>
        <w:snapToGrid w:val="0"/>
        <w:spacing w:line="200" w:lineRule="exact"/>
        <w:rPr>
          <w:rStyle w:val="41"/>
          <w:rFonts w:ascii="宋体"/>
          <w:sz w:val="20"/>
        </w:rPr>
      </w:pPr>
    </w:p>
    <w:p w14:paraId="4449D325">
      <w:pPr>
        <w:snapToGrid w:val="0"/>
        <w:spacing w:line="200" w:lineRule="exact"/>
        <w:rPr>
          <w:rStyle w:val="41"/>
          <w:rFonts w:ascii="宋体"/>
          <w:sz w:val="20"/>
        </w:rPr>
      </w:pPr>
    </w:p>
    <w:p w14:paraId="7D654A33">
      <w:pPr>
        <w:snapToGrid w:val="0"/>
        <w:spacing w:line="200" w:lineRule="exact"/>
        <w:rPr>
          <w:rStyle w:val="41"/>
          <w:rFonts w:ascii="宋体"/>
          <w:sz w:val="20"/>
        </w:rPr>
      </w:pPr>
    </w:p>
    <w:p w14:paraId="3A0D1466">
      <w:pPr>
        <w:snapToGrid w:val="0"/>
        <w:spacing w:line="200" w:lineRule="exact"/>
        <w:rPr>
          <w:rStyle w:val="41"/>
          <w:rFonts w:ascii="宋体"/>
          <w:sz w:val="20"/>
        </w:rPr>
      </w:pPr>
    </w:p>
    <w:p w14:paraId="21ACF19A">
      <w:pPr>
        <w:snapToGrid w:val="0"/>
        <w:spacing w:line="200" w:lineRule="exact"/>
        <w:rPr>
          <w:rStyle w:val="41"/>
          <w:rFonts w:ascii="宋体"/>
          <w:sz w:val="20"/>
        </w:rPr>
      </w:pPr>
    </w:p>
    <w:p w14:paraId="0589C073">
      <w:pPr>
        <w:snapToGrid w:val="0"/>
        <w:spacing w:line="200" w:lineRule="exact"/>
        <w:rPr>
          <w:rStyle w:val="41"/>
          <w:rFonts w:ascii="宋体"/>
          <w:sz w:val="20"/>
        </w:rPr>
      </w:pPr>
    </w:p>
    <w:p w14:paraId="5A72ED77">
      <w:pPr>
        <w:pStyle w:val="32"/>
        <w:snapToGrid w:val="0"/>
        <w:ind w:left="480" w:firstLine="400"/>
        <w:rPr>
          <w:rStyle w:val="41"/>
          <w:rFonts w:ascii="宋体"/>
          <w:sz w:val="20"/>
        </w:rPr>
      </w:pPr>
    </w:p>
    <w:p w14:paraId="0BB5A32B">
      <w:pPr>
        <w:pStyle w:val="32"/>
        <w:snapToGrid w:val="0"/>
        <w:ind w:left="480" w:firstLine="400"/>
        <w:rPr>
          <w:rStyle w:val="41"/>
          <w:rFonts w:ascii="宋体"/>
          <w:sz w:val="20"/>
        </w:rPr>
      </w:pPr>
    </w:p>
    <w:p w14:paraId="532BBB65">
      <w:pPr>
        <w:snapToGrid w:val="0"/>
        <w:spacing w:line="200" w:lineRule="exact"/>
        <w:rPr>
          <w:rStyle w:val="41"/>
          <w:rFonts w:ascii="宋体"/>
          <w:sz w:val="20"/>
        </w:rPr>
      </w:pPr>
    </w:p>
    <w:p w14:paraId="4BE7B621">
      <w:pPr>
        <w:snapToGrid w:val="0"/>
        <w:spacing w:line="200" w:lineRule="exact"/>
        <w:rPr>
          <w:rStyle w:val="41"/>
          <w:rFonts w:ascii="宋体"/>
          <w:sz w:val="20"/>
        </w:rPr>
      </w:pPr>
    </w:p>
    <w:p w14:paraId="750B9FE0">
      <w:pPr>
        <w:snapToGrid w:val="0"/>
        <w:spacing w:line="200" w:lineRule="exact"/>
        <w:rPr>
          <w:rStyle w:val="41"/>
          <w:rFonts w:ascii="宋体"/>
          <w:sz w:val="20"/>
        </w:rPr>
      </w:pPr>
    </w:p>
    <w:p w14:paraId="498AFB79">
      <w:pPr>
        <w:snapToGrid w:val="0"/>
        <w:spacing w:line="200" w:lineRule="exact"/>
        <w:rPr>
          <w:rStyle w:val="41"/>
          <w:rFonts w:ascii="宋体"/>
          <w:sz w:val="20"/>
        </w:rPr>
      </w:pPr>
    </w:p>
    <w:p w14:paraId="5452D3CD">
      <w:pPr>
        <w:snapToGrid w:val="0"/>
        <w:spacing w:line="200" w:lineRule="exact"/>
        <w:rPr>
          <w:rStyle w:val="41"/>
          <w:rFonts w:ascii="宋体"/>
          <w:sz w:val="20"/>
        </w:rPr>
      </w:pPr>
    </w:p>
    <w:p w14:paraId="4513DCE4">
      <w:pPr>
        <w:snapToGrid w:val="0"/>
        <w:spacing w:line="200" w:lineRule="exact"/>
        <w:rPr>
          <w:rStyle w:val="41"/>
          <w:rFonts w:ascii="宋体"/>
          <w:sz w:val="20"/>
        </w:rPr>
      </w:pPr>
    </w:p>
    <w:p w14:paraId="7729E821">
      <w:pPr>
        <w:snapToGrid w:val="0"/>
        <w:spacing w:before="12" w:line="280" w:lineRule="exact"/>
        <w:rPr>
          <w:rStyle w:val="41"/>
          <w:rFonts w:ascii="宋体"/>
          <w:sz w:val="28"/>
        </w:rPr>
      </w:pPr>
    </w:p>
    <w:p w14:paraId="3D3DE064">
      <w:pPr>
        <w:pStyle w:val="38"/>
        <w:tabs>
          <w:tab w:val="left" w:pos="5437"/>
        </w:tabs>
        <w:snapToGrid w:val="0"/>
        <w:ind w:left="16"/>
        <w:jc w:val="center"/>
        <w:rPr>
          <w:rStyle w:val="41"/>
          <w:rFonts w:ascii="宋体" w:hAnsi="宋体" w:eastAsia="宋体"/>
        </w:rPr>
      </w:pPr>
      <w:bookmarkStart w:id="34" w:name="_Toc15603_WPSOffice_Level1"/>
      <w:r>
        <w:rPr>
          <w:rStyle w:val="41"/>
          <w:rFonts w:ascii="宋体" w:hAnsi="宋体" w:eastAsia="宋体"/>
        </w:rPr>
        <w:t>比选申请人</w:t>
      </w:r>
      <w:r>
        <w:rPr>
          <w:rStyle w:val="41"/>
          <w:rFonts w:ascii="宋体" w:hAnsi="宋体" w:eastAsia="宋体"/>
          <w:spacing w:val="1"/>
        </w:rPr>
        <w:t>：</w:t>
      </w:r>
      <w:r>
        <w:rPr>
          <w:rStyle w:val="41"/>
          <w:rFonts w:ascii="宋体" w:hAnsi="宋体" w:eastAsia="宋体"/>
          <w:spacing w:val="1"/>
          <w:u w:val="single" w:color="000000"/>
        </w:rPr>
        <w:tab/>
      </w:r>
      <w:r>
        <w:rPr>
          <w:rStyle w:val="41"/>
          <w:rFonts w:ascii="宋体" w:hAnsi="宋体" w:eastAsia="宋体"/>
          <w:spacing w:val="1"/>
        </w:rPr>
        <w:t>(</w:t>
      </w:r>
      <w:r>
        <w:rPr>
          <w:rStyle w:val="41"/>
          <w:rFonts w:ascii="宋体" w:hAnsi="宋体" w:eastAsia="宋体"/>
        </w:rPr>
        <w:t>盖</w:t>
      </w:r>
      <w:r>
        <w:rPr>
          <w:rStyle w:val="41"/>
          <w:rFonts w:ascii="宋体" w:hAnsi="宋体" w:eastAsia="宋体"/>
          <w:spacing w:val="2"/>
        </w:rPr>
        <w:t>单</w:t>
      </w:r>
      <w:r>
        <w:rPr>
          <w:rStyle w:val="41"/>
          <w:rFonts w:ascii="宋体" w:hAnsi="宋体" w:eastAsia="宋体"/>
        </w:rPr>
        <w:t>位</w:t>
      </w:r>
      <w:r>
        <w:rPr>
          <w:rStyle w:val="41"/>
          <w:rFonts w:ascii="宋体" w:hAnsi="宋体" w:eastAsia="宋体"/>
          <w:spacing w:val="2"/>
        </w:rPr>
        <w:t>章</w:t>
      </w:r>
      <w:r>
        <w:rPr>
          <w:rStyle w:val="41"/>
          <w:rFonts w:ascii="宋体" w:hAnsi="宋体" w:eastAsia="宋体"/>
        </w:rPr>
        <w:t>)</w:t>
      </w:r>
      <w:bookmarkEnd w:id="34"/>
    </w:p>
    <w:p w14:paraId="5D76A2A1">
      <w:pPr>
        <w:snapToGrid w:val="0"/>
        <w:spacing w:line="200" w:lineRule="exact"/>
        <w:rPr>
          <w:rStyle w:val="41"/>
          <w:rFonts w:ascii="宋体"/>
          <w:sz w:val="20"/>
        </w:rPr>
      </w:pPr>
    </w:p>
    <w:p w14:paraId="1BC50165">
      <w:pPr>
        <w:snapToGrid w:val="0"/>
        <w:spacing w:line="200" w:lineRule="exact"/>
        <w:rPr>
          <w:rStyle w:val="41"/>
          <w:rFonts w:ascii="宋体"/>
          <w:sz w:val="20"/>
        </w:rPr>
      </w:pPr>
    </w:p>
    <w:p w14:paraId="31E4C9FF">
      <w:pPr>
        <w:snapToGrid w:val="0"/>
        <w:spacing w:before="18" w:line="200" w:lineRule="exact"/>
        <w:rPr>
          <w:rStyle w:val="41"/>
          <w:rFonts w:ascii="宋体"/>
          <w:sz w:val="20"/>
        </w:rPr>
      </w:pPr>
    </w:p>
    <w:p w14:paraId="4277AF86">
      <w:pPr>
        <w:tabs>
          <w:tab w:val="left" w:pos="4163"/>
          <w:tab w:val="left" w:pos="5219"/>
          <w:tab w:val="left" w:pos="6424"/>
        </w:tabs>
        <w:snapToGrid w:val="0"/>
        <w:spacing w:line="400" w:lineRule="exact"/>
        <w:ind w:left="2811"/>
        <w:rPr>
          <w:rStyle w:val="41"/>
          <w:rFonts w:ascii="宋体"/>
          <w:sz w:val="30"/>
        </w:rPr>
      </w:pPr>
      <w:r>
        <w:rPr>
          <w:rStyle w:val="41"/>
          <w:rFonts w:ascii="宋体" w:hAnsi="宋体"/>
          <w:sz w:val="30"/>
          <w:u w:val="single" w:color="000000"/>
        </w:rPr>
        <w:t xml:space="preserve"> </w:t>
      </w:r>
      <w:r>
        <w:rPr>
          <w:rStyle w:val="41"/>
          <w:rFonts w:ascii="宋体" w:hAnsi="宋体"/>
          <w:sz w:val="30"/>
          <w:u w:val="single" w:color="000000"/>
        </w:rPr>
        <w:tab/>
      </w:r>
      <w:bookmarkStart w:id="35" w:name="_Toc3516_WPSOffice_Level1"/>
      <w:r>
        <w:rPr>
          <w:rStyle w:val="41"/>
          <w:rFonts w:ascii="宋体" w:hAnsi="宋体"/>
          <w:spacing w:val="2"/>
          <w:sz w:val="30"/>
        </w:rPr>
        <w:t>年</w:t>
      </w:r>
      <w:r>
        <w:rPr>
          <w:rStyle w:val="41"/>
          <w:rFonts w:ascii="宋体"/>
          <w:spacing w:val="2"/>
          <w:sz w:val="30"/>
          <w:u w:val="single" w:color="000000"/>
        </w:rPr>
        <w:tab/>
      </w:r>
      <w:r>
        <w:rPr>
          <w:rStyle w:val="41"/>
          <w:rFonts w:ascii="宋体" w:hAnsi="宋体"/>
          <w:spacing w:val="-1"/>
          <w:sz w:val="30"/>
        </w:rPr>
        <w:t>月</w:t>
      </w:r>
      <w:r>
        <w:rPr>
          <w:rStyle w:val="41"/>
          <w:rFonts w:ascii="宋体"/>
          <w:spacing w:val="-1"/>
          <w:sz w:val="30"/>
          <w:u w:val="single" w:color="000000"/>
        </w:rPr>
        <w:tab/>
      </w:r>
      <w:r>
        <w:rPr>
          <w:rStyle w:val="41"/>
          <w:rFonts w:ascii="宋体" w:hAnsi="宋体"/>
          <w:sz w:val="30"/>
        </w:rPr>
        <w:t>日</w:t>
      </w:r>
      <w:bookmarkEnd w:id="35"/>
    </w:p>
    <w:p w14:paraId="167C67A7">
      <w:pPr>
        <w:tabs>
          <w:tab w:val="left" w:pos="4163"/>
          <w:tab w:val="left" w:pos="5219"/>
          <w:tab w:val="left" w:pos="6424"/>
        </w:tabs>
        <w:snapToGrid w:val="0"/>
        <w:spacing w:line="400" w:lineRule="exact"/>
        <w:ind w:left="2811"/>
        <w:rPr>
          <w:rStyle w:val="41"/>
          <w:rFonts w:ascii="宋体"/>
          <w:sz w:val="30"/>
        </w:rPr>
        <w:sectPr>
          <w:footerReference r:id="rId15" w:type="default"/>
          <w:pgSz w:w="11906" w:h="16840"/>
          <w:pgMar w:top="1060" w:right="1020" w:bottom="1040" w:left="1360" w:header="878" w:footer="855" w:gutter="0"/>
          <w:cols w:space="425" w:num="1"/>
        </w:sectPr>
      </w:pPr>
    </w:p>
    <w:p w14:paraId="443CA395">
      <w:pPr>
        <w:tabs>
          <w:tab w:val="left" w:pos="4163"/>
          <w:tab w:val="left" w:pos="5219"/>
          <w:tab w:val="left" w:pos="6424"/>
        </w:tabs>
        <w:snapToGrid w:val="0"/>
        <w:spacing w:before="4" w:line="180" w:lineRule="exact"/>
        <w:ind w:left="2811"/>
        <w:rPr>
          <w:rStyle w:val="41"/>
          <w:rFonts w:ascii="宋体"/>
          <w:sz w:val="21"/>
        </w:rPr>
      </w:pPr>
    </w:p>
    <w:p w14:paraId="2F0B403F">
      <w:pPr>
        <w:snapToGrid w:val="0"/>
        <w:spacing w:line="200" w:lineRule="exact"/>
        <w:rPr>
          <w:rStyle w:val="41"/>
          <w:rFonts w:ascii="宋体"/>
          <w:sz w:val="21"/>
        </w:rPr>
      </w:pPr>
    </w:p>
    <w:p w14:paraId="5ED2DFB9">
      <w:pPr>
        <w:snapToGrid w:val="0"/>
        <w:spacing w:line="200" w:lineRule="exact"/>
        <w:rPr>
          <w:rStyle w:val="41"/>
          <w:rFonts w:ascii="宋体"/>
        </w:rPr>
      </w:pPr>
    </w:p>
    <w:p w14:paraId="3A5C5DEE">
      <w:pPr>
        <w:pStyle w:val="39"/>
        <w:tabs>
          <w:tab w:val="left" w:pos="562"/>
        </w:tabs>
        <w:snapToGrid w:val="0"/>
        <w:spacing w:line="381" w:lineRule="exact"/>
        <w:ind w:left="1"/>
        <w:jc w:val="center"/>
        <w:rPr>
          <w:rStyle w:val="41"/>
          <w:rFonts w:ascii="宋体" w:hAnsi="宋体" w:eastAsia="宋体"/>
          <w:sz w:val="24"/>
        </w:rPr>
      </w:pPr>
      <w:bookmarkStart w:id="36" w:name="_Toc3224_WPSOffice_Level1"/>
      <w:r>
        <w:rPr>
          <w:rStyle w:val="41"/>
          <w:rFonts w:ascii="宋体" w:hAnsi="宋体" w:eastAsia="宋体"/>
          <w:sz w:val="24"/>
        </w:rPr>
        <w:t>目</w:t>
      </w:r>
      <w:r>
        <w:rPr>
          <w:rStyle w:val="41"/>
          <w:rFonts w:ascii="宋体" w:hAnsi="宋体" w:eastAsia="宋体"/>
          <w:sz w:val="24"/>
        </w:rPr>
        <w:tab/>
      </w:r>
      <w:r>
        <w:rPr>
          <w:rStyle w:val="41"/>
          <w:rFonts w:ascii="宋体" w:hAnsi="宋体" w:eastAsia="宋体"/>
          <w:sz w:val="24"/>
        </w:rPr>
        <w:t>录</w:t>
      </w:r>
      <w:bookmarkEnd w:id="36"/>
    </w:p>
    <w:p w14:paraId="7927D77F">
      <w:pPr>
        <w:snapToGrid w:val="0"/>
        <w:spacing w:line="360" w:lineRule="auto"/>
        <w:rPr>
          <w:rStyle w:val="41"/>
          <w:rFonts w:ascii="宋体"/>
        </w:rPr>
      </w:pPr>
      <w:bookmarkStart w:id="37" w:name="_Toc5259_WPSOffice_Level1"/>
      <w:r>
        <w:rPr>
          <w:rStyle w:val="41"/>
          <w:rFonts w:ascii="宋体" w:hAnsi="宋体"/>
        </w:rPr>
        <w:t>一、比选申请函</w:t>
      </w:r>
      <w:bookmarkEnd w:id="37"/>
    </w:p>
    <w:p w14:paraId="1CC7C655">
      <w:pPr>
        <w:snapToGrid w:val="0"/>
        <w:spacing w:line="360" w:lineRule="auto"/>
        <w:rPr>
          <w:rStyle w:val="41"/>
          <w:rFonts w:ascii="宋体"/>
        </w:rPr>
      </w:pPr>
      <w:bookmarkStart w:id="38" w:name="_Toc9868_WPSOffice_Level1"/>
      <w:r>
        <w:rPr>
          <w:rStyle w:val="41"/>
          <w:rFonts w:ascii="宋体" w:hAnsi="宋体"/>
        </w:rPr>
        <w:t>二、法定代表人身份证明或授权委托书（如有）</w:t>
      </w:r>
      <w:bookmarkEnd w:id="38"/>
      <w:r>
        <w:rPr>
          <w:rStyle w:val="41"/>
          <w:rFonts w:ascii="宋体" w:hAnsi="宋体"/>
        </w:rPr>
        <w:t xml:space="preserve"> </w:t>
      </w:r>
    </w:p>
    <w:p w14:paraId="10BC33EE">
      <w:pPr>
        <w:snapToGrid w:val="0"/>
        <w:spacing w:line="360" w:lineRule="auto"/>
        <w:rPr>
          <w:rStyle w:val="41"/>
          <w:rFonts w:ascii="宋体"/>
        </w:rPr>
      </w:pPr>
      <w:bookmarkStart w:id="39" w:name="_Toc3243_WPSOffice_Level1"/>
      <w:r>
        <w:rPr>
          <w:rStyle w:val="41"/>
          <w:rFonts w:ascii="宋体" w:hAnsi="宋体"/>
        </w:rPr>
        <w:t>三、资格审查资料</w:t>
      </w:r>
      <w:bookmarkEnd w:id="39"/>
    </w:p>
    <w:p w14:paraId="45170674">
      <w:pPr>
        <w:snapToGrid w:val="0"/>
        <w:spacing w:line="360" w:lineRule="auto"/>
        <w:rPr>
          <w:rStyle w:val="41"/>
          <w:rFonts w:ascii="宋体" w:hAnsi="宋体"/>
        </w:rPr>
      </w:pPr>
      <w:bookmarkStart w:id="40" w:name="_Toc30941_WPSOffice_Level1"/>
      <w:r>
        <w:rPr>
          <w:rStyle w:val="41"/>
          <w:rFonts w:ascii="宋体" w:hAnsi="宋体"/>
        </w:rPr>
        <w:t>四、</w:t>
      </w:r>
      <w:bookmarkEnd w:id="40"/>
      <w:bookmarkStart w:id="41" w:name="_Toc16327_WPSOffice_Level1"/>
      <w:r>
        <w:rPr>
          <w:rStyle w:val="41"/>
          <w:rFonts w:hint="eastAsia" w:ascii="宋体" w:hAnsi="宋体"/>
        </w:rPr>
        <w:t>技术建议书</w:t>
      </w:r>
    </w:p>
    <w:p w14:paraId="20DEC062">
      <w:pPr>
        <w:snapToGrid w:val="0"/>
        <w:spacing w:line="360" w:lineRule="auto"/>
        <w:rPr>
          <w:rStyle w:val="41"/>
          <w:rFonts w:ascii="宋体"/>
        </w:rPr>
      </w:pPr>
      <w:r>
        <w:rPr>
          <w:rStyle w:val="41"/>
          <w:rFonts w:ascii="宋体" w:hAnsi="宋体"/>
        </w:rPr>
        <w:t>五、其他资料</w:t>
      </w:r>
      <w:bookmarkEnd w:id="41"/>
    </w:p>
    <w:p w14:paraId="2F904CD8">
      <w:pPr>
        <w:snapToGrid w:val="0"/>
        <w:spacing w:line="200" w:lineRule="exact"/>
        <w:rPr>
          <w:rStyle w:val="41"/>
          <w:rFonts w:ascii="宋体"/>
        </w:rPr>
      </w:pPr>
    </w:p>
    <w:p w14:paraId="17789937">
      <w:pPr>
        <w:snapToGrid w:val="0"/>
        <w:spacing w:before="16" w:line="200" w:lineRule="exact"/>
        <w:rPr>
          <w:rStyle w:val="41"/>
          <w:rFonts w:ascii="宋体"/>
        </w:rPr>
      </w:pPr>
    </w:p>
    <w:p w14:paraId="42FA9A78">
      <w:pPr>
        <w:snapToGrid w:val="0"/>
        <w:spacing w:before="16" w:line="200" w:lineRule="exact"/>
        <w:rPr>
          <w:rStyle w:val="41"/>
          <w:rFonts w:ascii="宋体"/>
        </w:rPr>
      </w:pPr>
    </w:p>
    <w:p w14:paraId="30BEC8E2">
      <w:pPr>
        <w:snapToGrid w:val="0"/>
        <w:spacing w:before="16" w:line="200" w:lineRule="exact"/>
        <w:rPr>
          <w:rStyle w:val="41"/>
          <w:rFonts w:ascii="宋体"/>
          <w:sz w:val="21"/>
        </w:rPr>
      </w:pPr>
    </w:p>
    <w:p w14:paraId="71A8FCFB">
      <w:pPr>
        <w:snapToGrid w:val="0"/>
        <w:spacing w:before="16" w:line="200" w:lineRule="exact"/>
        <w:rPr>
          <w:rStyle w:val="41"/>
          <w:rFonts w:ascii="宋体"/>
          <w:sz w:val="21"/>
        </w:rPr>
      </w:pPr>
    </w:p>
    <w:p w14:paraId="10BFB194">
      <w:pPr>
        <w:snapToGrid w:val="0"/>
        <w:spacing w:before="16" w:line="200" w:lineRule="exact"/>
        <w:rPr>
          <w:rStyle w:val="41"/>
          <w:rFonts w:ascii="宋体"/>
          <w:sz w:val="21"/>
        </w:rPr>
      </w:pPr>
    </w:p>
    <w:p w14:paraId="4231DF8E">
      <w:pPr>
        <w:snapToGrid w:val="0"/>
        <w:spacing w:before="16" w:line="200" w:lineRule="exact"/>
        <w:rPr>
          <w:rStyle w:val="41"/>
          <w:rFonts w:ascii="宋体"/>
          <w:sz w:val="21"/>
        </w:rPr>
      </w:pPr>
    </w:p>
    <w:p w14:paraId="1EE0722B">
      <w:pPr>
        <w:snapToGrid w:val="0"/>
        <w:spacing w:before="16" w:line="200" w:lineRule="exact"/>
        <w:rPr>
          <w:rStyle w:val="41"/>
          <w:rFonts w:ascii="宋体"/>
          <w:sz w:val="21"/>
        </w:rPr>
      </w:pPr>
    </w:p>
    <w:p w14:paraId="1E9F0B72">
      <w:pPr>
        <w:snapToGrid w:val="0"/>
        <w:spacing w:before="16" w:line="200" w:lineRule="exact"/>
        <w:rPr>
          <w:rStyle w:val="41"/>
          <w:rFonts w:ascii="宋体"/>
          <w:sz w:val="21"/>
        </w:rPr>
      </w:pPr>
    </w:p>
    <w:p w14:paraId="076E0F6A">
      <w:pPr>
        <w:snapToGrid w:val="0"/>
        <w:spacing w:before="16" w:line="200" w:lineRule="exact"/>
        <w:rPr>
          <w:rStyle w:val="41"/>
          <w:rFonts w:ascii="宋体"/>
          <w:sz w:val="21"/>
        </w:rPr>
      </w:pPr>
    </w:p>
    <w:p w14:paraId="517DDDF7">
      <w:pPr>
        <w:snapToGrid w:val="0"/>
        <w:spacing w:before="16" w:line="200" w:lineRule="exact"/>
        <w:rPr>
          <w:rStyle w:val="41"/>
          <w:rFonts w:ascii="宋体"/>
          <w:sz w:val="21"/>
        </w:rPr>
      </w:pPr>
    </w:p>
    <w:p w14:paraId="5C65050F">
      <w:pPr>
        <w:snapToGrid w:val="0"/>
        <w:spacing w:before="16" w:line="200" w:lineRule="exact"/>
        <w:rPr>
          <w:rStyle w:val="41"/>
          <w:rFonts w:ascii="宋体"/>
          <w:sz w:val="21"/>
        </w:rPr>
      </w:pPr>
    </w:p>
    <w:p w14:paraId="1D57035C">
      <w:pPr>
        <w:snapToGrid w:val="0"/>
        <w:spacing w:before="16" w:line="200" w:lineRule="exact"/>
        <w:rPr>
          <w:rStyle w:val="41"/>
          <w:rFonts w:ascii="宋体"/>
          <w:sz w:val="21"/>
        </w:rPr>
      </w:pPr>
    </w:p>
    <w:p w14:paraId="708294BE">
      <w:pPr>
        <w:snapToGrid w:val="0"/>
        <w:spacing w:before="16" w:line="200" w:lineRule="exact"/>
        <w:rPr>
          <w:rStyle w:val="41"/>
          <w:rFonts w:ascii="宋体"/>
          <w:sz w:val="21"/>
        </w:rPr>
      </w:pPr>
    </w:p>
    <w:p w14:paraId="26838A60">
      <w:pPr>
        <w:snapToGrid w:val="0"/>
        <w:spacing w:before="16" w:line="200" w:lineRule="exact"/>
        <w:rPr>
          <w:rStyle w:val="41"/>
          <w:rFonts w:ascii="宋体"/>
          <w:sz w:val="21"/>
        </w:rPr>
      </w:pPr>
    </w:p>
    <w:p w14:paraId="3EF4CB03">
      <w:pPr>
        <w:snapToGrid w:val="0"/>
        <w:spacing w:before="16" w:line="200" w:lineRule="exact"/>
        <w:rPr>
          <w:rStyle w:val="41"/>
          <w:rFonts w:ascii="宋体"/>
          <w:sz w:val="21"/>
        </w:rPr>
      </w:pPr>
    </w:p>
    <w:p w14:paraId="34D7645B">
      <w:pPr>
        <w:snapToGrid w:val="0"/>
        <w:spacing w:before="16" w:line="200" w:lineRule="exact"/>
        <w:rPr>
          <w:rStyle w:val="41"/>
          <w:rFonts w:ascii="宋体"/>
          <w:sz w:val="21"/>
        </w:rPr>
      </w:pPr>
    </w:p>
    <w:p w14:paraId="66D92356">
      <w:pPr>
        <w:snapToGrid w:val="0"/>
        <w:spacing w:before="16" w:line="200" w:lineRule="exact"/>
        <w:rPr>
          <w:rStyle w:val="41"/>
          <w:rFonts w:ascii="宋体"/>
          <w:sz w:val="21"/>
        </w:rPr>
      </w:pPr>
    </w:p>
    <w:p w14:paraId="002E07F3">
      <w:pPr>
        <w:snapToGrid w:val="0"/>
        <w:spacing w:before="16" w:line="200" w:lineRule="exact"/>
        <w:rPr>
          <w:rStyle w:val="41"/>
          <w:rFonts w:ascii="宋体"/>
          <w:sz w:val="21"/>
        </w:rPr>
      </w:pPr>
    </w:p>
    <w:p w14:paraId="35A20C04">
      <w:pPr>
        <w:snapToGrid w:val="0"/>
        <w:spacing w:before="16" w:line="200" w:lineRule="exact"/>
        <w:rPr>
          <w:rStyle w:val="41"/>
          <w:rFonts w:ascii="宋体"/>
          <w:sz w:val="21"/>
        </w:rPr>
      </w:pPr>
    </w:p>
    <w:p w14:paraId="12047DD4">
      <w:pPr>
        <w:snapToGrid w:val="0"/>
        <w:spacing w:before="16" w:line="200" w:lineRule="exact"/>
        <w:rPr>
          <w:rStyle w:val="41"/>
          <w:rFonts w:ascii="宋体"/>
          <w:sz w:val="21"/>
        </w:rPr>
      </w:pPr>
    </w:p>
    <w:p w14:paraId="13B6AE8F">
      <w:pPr>
        <w:snapToGrid w:val="0"/>
        <w:spacing w:before="16" w:line="200" w:lineRule="exact"/>
        <w:rPr>
          <w:rStyle w:val="41"/>
          <w:rFonts w:ascii="宋体"/>
          <w:sz w:val="21"/>
        </w:rPr>
      </w:pPr>
    </w:p>
    <w:p w14:paraId="28B23938">
      <w:pPr>
        <w:snapToGrid w:val="0"/>
        <w:spacing w:before="16" w:line="200" w:lineRule="exact"/>
        <w:rPr>
          <w:rStyle w:val="41"/>
          <w:rFonts w:ascii="宋体"/>
          <w:sz w:val="21"/>
        </w:rPr>
      </w:pPr>
    </w:p>
    <w:p w14:paraId="75B27EB4">
      <w:pPr>
        <w:snapToGrid w:val="0"/>
        <w:spacing w:before="16" w:line="200" w:lineRule="exact"/>
        <w:rPr>
          <w:rStyle w:val="41"/>
          <w:rFonts w:ascii="宋体"/>
          <w:sz w:val="21"/>
        </w:rPr>
      </w:pPr>
    </w:p>
    <w:p w14:paraId="149FACE8">
      <w:pPr>
        <w:snapToGrid w:val="0"/>
        <w:spacing w:before="16" w:line="200" w:lineRule="exact"/>
        <w:rPr>
          <w:rStyle w:val="41"/>
          <w:rFonts w:ascii="宋体"/>
          <w:sz w:val="21"/>
        </w:rPr>
      </w:pPr>
    </w:p>
    <w:p w14:paraId="08D52D24">
      <w:pPr>
        <w:snapToGrid w:val="0"/>
        <w:spacing w:before="16" w:line="200" w:lineRule="exact"/>
        <w:rPr>
          <w:rStyle w:val="41"/>
          <w:rFonts w:ascii="宋体"/>
          <w:sz w:val="21"/>
        </w:rPr>
      </w:pPr>
    </w:p>
    <w:p w14:paraId="3A8E7AD3">
      <w:pPr>
        <w:snapToGrid w:val="0"/>
        <w:spacing w:before="16" w:line="200" w:lineRule="exact"/>
        <w:rPr>
          <w:rStyle w:val="41"/>
          <w:rFonts w:ascii="宋体"/>
          <w:sz w:val="21"/>
        </w:rPr>
      </w:pPr>
    </w:p>
    <w:p w14:paraId="776CA720">
      <w:pPr>
        <w:snapToGrid w:val="0"/>
        <w:spacing w:before="16" w:line="200" w:lineRule="exact"/>
        <w:rPr>
          <w:rStyle w:val="41"/>
          <w:rFonts w:ascii="宋体"/>
          <w:sz w:val="21"/>
        </w:rPr>
      </w:pPr>
    </w:p>
    <w:p w14:paraId="57AF9988">
      <w:pPr>
        <w:snapToGrid w:val="0"/>
        <w:spacing w:before="16" w:line="200" w:lineRule="exact"/>
        <w:rPr>
          <w:rStyle w:val="41"/>
          <w:rFonts w:ascii="宋体"/>
          <w:sz w:val="21"/>
        </w:rPr>
      </w:pPr>
    </w:p>
    <w:p w14:paraId="72BA9BD8">
      <w:pPr>
        <w:snapToGrid w:val="0"/>
        <w:spacing w:before="16" w:line="200" w:lineRule="exact"/>
        <w:rPr>
          <w:rStyle w:val="41"/>
          <w:rFonts w:ascii="宋体"/>
          <w:sz w:val="21"/>
        </w:rPr>
      </w:pPr>
    </w:p>
    <w:p w14:paraId="47D60978">
      <w:pPr>
        <w:snapToGrid w:val="0"/>
        <w:spacing w:before="16" w:line="200" w:lineRule="exact"/>
        <w:rPr>
          <w:rStyle w:val="41"/>
          <w:rFonts w:ascii="宋体"/>
          <w:sz w:val="21"/>
        </w:rPr>
      </w:pPr>
    </w:p>
    <w:p w14:paraId="61533E78">
      <w:pPr>
        <w:snapToGrid w:val="0"/>
        <w:spacing w:before="16" w:line="200" w:lineRule="exact"/>
        <w:rPr>
          <w:rStyle w:val="41"/>
          <w:rFonts w:ascii="宋体"/>
          <w:sz w:val="21"/>
        </w:rPr>
      </w:pPr>
    </w:p>
    <w:p w14:paraId="2D7BECBE">
      <w:pPr>
        <w:snapToGrid w:val="0"/>
        <w:spacing w:before="16" w:line="200" w:lineRule="exact"/>
        <w:rPr>
          <w:rStyle w:val="41"/>
          <w:rFonts w:ascii="宋体"/>
          <w:sz w:val="21"/>
        </w:rPr>
      </w:pPr>
    </w:p>
    <w:p w14:paraId="0BB06F00">
      <w:pPr>
        <w:snapToGrid w:val="0"/>
        <w:spacing w:before="16" w:line="200" w:lineRule="exact"/>
        <w:rPr>
          <w:rStyle w:val="41"/>
          <w:rFonts w:ascii="宋体"/>
          <w:sz w:val="21"/>
        </w:rPr>
      </w:pPr>
    </w:p>
    <w:p w14:paraId="2D020EFD">
      <w:pPr>
        <w:snapToGrid w:val="0"/>
        <w:spacing w:before="16" w:line="200" w:lineRule="exact"/>
        <w:rPr>
          <w:rStyle w:val="41"/>
          <w:rFonts w:ascii="宋体"/>
          <w:sz w:val="21"/>
        </w:rPr>
      </w:pPr>
    </w:p>
    <w:p w14:paraId="5D496775">
      <w:pPr>
        <w:snapToGrid w:val="0"/>
        <w:spacing w:before="16" w:line="200" w:lineRule="exact"/>
        <w:rPr>
          <w:rStyle w:val="41"/>
          <w:rFonts w:ascii="宋体"/>
          <w:sz w:val="21"/>
        </w:rPr>
      </w:pPr>
    </w:p>
    <w:p w14:paraId="516FEBE6">
      <w:pPr>
        <w:snapToGrid w:val="0"/>
        <w:spacing w:before="16" w:line="200" w:lineRule="exact"/>
        <w:rPr>
          <w:rStyle w:val="41"/>
          <w:rFonts w:ascii="宋体"/>
          <w:sz w:val="21"/>
        </w:rPr>
      </w:pPr>
    </w:p>
    <w:p w14:paraId="44CC3E4B">
      <w:pPr>
        <w:snapToGrid w:val="0"/>
        <w:spacing w:before="16" w:line="200" w:lineRule="exact"/>
        <w:rPr>
          <w:rStyle w:val="41"/>
          <w:rFonts w:ascii="宋体"/>
          <w:sz w:val="21"/>
        </w:rPr>
      </w:pPr>
    </w:p>
    <w:p w14:paraId="38F6F1B9">
      <w:pPr>
        <w:snapToGrid w:val="0"/>
        <w:spacing w:before="16" w:line="200" w:lineRule="exact"/>
        <w:rPr>
          <w:rStyle w:val="41"/>
          <w:rFonts w:ascii="宋体"/>
          <w:sz w:val="21"/>
        </w:rPr>
      </w:pPr>
    </w:p>
    <w:p w14:paraId="6F456C07">
      <w:pPr>
        <w:snapToGrid w:val="0"/>
        <w:spacing w:before="16" w:line="200" w:lineRule="exact"/>
        <w:rPr>
          <w:rStyle w:val="41"/>
          <w:rFonts w:ascii="宋体"/>
          <w:sz w:val="21"/>
        </w:rPr>
      </w:pPr>
    </w:p>
    <w:p w14:paraId="537E0C4D">
      <w:pPr>
        <w:snapToGrid w:val="0"/>
        <w:spacing w:before="16" w:line="200" w:lineRule="exact"/>
        <w:rPr>
          <w:rStyle w:val="41"/>
          <w:rFonts w:ascii="宋体"/>
          <w:sz w:val="21"/>
        </w:rPr>
      </w:pPr>
    </w:p>
    <w:p w14:paraId="403710BE">
      <w:pPr>
        <w:snapToGrid w:val="0"/>
        <w:spacing w:before="16" w:line="200" w:lineRule="exact"/>
        <w:rPr>
          <w:rStyle w:val="41"/>
          <w:rFonts w:ascii="宋体"/>
          <w:sz w:val="21"/>
        </w:rPr>
      </w:pPr>
    </w:p>
    <w:p w14:paraId="5234BDC9">
      <w:pPr>
        <w:snapToGrid w:val="0"/>
        <w:spacing w:before="16" w:line="200" w:lineRule="exact"/>
        <w:rPr>
          <w:rStyle w:val="41"/>
          <w:rFonts w:ascii="宋体"/>
          <w:sz w:val="21"/>
        </w:rPr>
      </w:pPr>
    </w:p>
    <w:p w14:paraId="60AE41E4">
      <w:pPr>
        <w:snapToGrid w:val="0"/>
        <w:spacing w:before="16" w:line="200" w:lineRule="exact"/>
        <w:rPr>
          <w:rStyle w:val="41"/>
          <w:rFonts w:ascii="宋体"/>
          <w:sz w:val="21"/>
        </w:rPr>
      </w:pPr>
    </w:p>
    <w:p w14:paraId="43EEE47F">
      <w:pPr>
        <w:snapToGrid w:val="0"/>
        <w:spacing w:before="16" w:line="200" w:lineRule="exact"/>
        <w:rPr>
          <w:rStyle w:val="41"/>
          <w:rFonts w:ascii="宋体"/>
          <w:sz w:val="21"/>
        </w:rPr>
      </w:pPr>
    </w:p>
    <w:p w14:paraId="7F644096">
      <w:pPr>
        <w:snapToGrid w:val="0"/>
        <w:spacing w:before="16" w:line="200" w:lineRule="exact"/>
        <w:rPr>
          <w:rStyle w:val="41"/>
          <w:rFonts w:ascii="宋体"/>
          <w:sz w:val="21"/>
        </w:rPr>
      </w:pPr>
    </w:p>
    <w:p w14:paraId="05E61ED1">
      <w:pPr>
        <w:snapToGrid w:val="0"/>
        <w:spacing w:before="16" w:line="200" w:lineRule="exact"/>
        <w:rPr>
          <w:rStyle w:val="41"/>
          <w:rFonts w:ascii="宋体"/>
          <w:sz w:val="21"/>
        </w:rPr>
      </w:pPr>
    </w:p>
    <w:p w14:paraId="75984DEC">
      <w:pPr>
        <w:snapToGrid w:val="0"/>
        <w:spacing w:line="419" w:lineRule="exact"/>
        <w:ind w:right="3"/>
        <w:jc w:val="both"/>
        <w:rPr>
          <w:rStyle w:val="41"/>
          <w:rFonts w:ascii="宋体" w:hAnsi="宋体"/>
          <w:b/>
          <w:sz w:val="28"/>
        </w:rPr>
      </w:pPr>
      <w:r>
        <w:rPr>
          <w:rStyle w:val="41"/>
          <w:rFonts w:ascii="宋体" w:hAnsi="宋体"/>
          <w:b/>
          <w:sz w:val="28"/>
        </w:rPr>
        <w:br w:type="page"/>
      </w:r>
    </w:p>
    <w:p w14:paraId="5A242D2B">
      <w:pPr>
        <w:snapToGrid w:val="0"/>
        <w:spacing w:line="419" w:lineRule="exact"/>
        <w:ind w:right="3"/>
        <w:jc w:val="center"/>
        <w:rPr>
          <w:rStyle w:val="41"/>
          <w:rFonts w:ascii="宋体"/>
          <w:sz w:val="21"/>
        </w:rPr>
      </w:pPr>
      <w:bookmarkStart w:id="42" w:name="_Toc21240_WPSOffice_Level1"/>
      <w:r>
        <w:rPr>
          <w:rStyle w:val="41"/>
          <w:rFonts w:ascii="宋体" w:hAnsi="宋体"/>
          <w:b/>
          <w:sz w:val="28"/>
        </w:rPr>
        <w:t>一</w:t>
      </w:r>
      <w:r>
        <w:rPr>
          <w:rStyle w:val="41"/>
          <w:rFonts w:ascii="宋体" w:hAnsi="宋体"/>
          <w:b/>
          <w:spacing w:val="2"/>
          <w:sz w:val="28"/>
        </w:rPr>
        <w:t>、比选申请</w:t>
      </w:r>
      <w:r>
        <w:rPr>
          <w:rStyle w:val="41"/>
          <w:rFonts w:ascii="宋体" w:hAnsi="宋体"/>
          <w:b/>
          <w:sz w:val="28"/>
        </w:rPr>
        <w:t>函</w:t>
      </w:r>
      <w:bookmarkEnd w:id="42"/>
    </w:p>
    <w:p w14:paraId="514EEDC2">
      <w:pPr>
        <w:pStyle w:val="55"/>
        <w:tabs>
          <w:tab w:val="left" w:pos="2003"/>
        </w:tabs>
        <w:snapToGrid w:val="0"/>
        <w:spacing w:line="360" w:lineRule="auto"/>
        <w:ind w:left="0"/>
        <w:jc w:val="center"/>
        <w:rPr>
          <w:rStyle w:val="41"/>
          <w:rFonts w:hAnsi="宋体" w:cs="Times New Roman"/>
          <w:b/>
          <w:spacing w:val="2"/>
          <w:sz w:val="24"/>
        </w:rPr>
      </w:pPr>
    </w:p>
    <w:p w14:paraId="5873243C">
      <w:pPr>
        <w:pStyle w:val="55"/>
        <w:tabs>
          <w:tab w:val="left" w:pos="2003"/>
        </w:tabs>
        <w:snapToGrid w:val="0"/>
        <w:spacing w:line="360" w:lineRule="auto"/>
        <w:ind w:left="0"/>
        <w:jc w:val="center"/>
        <w:rPr>
          <w:rStyle w:val="41"/>
          <w:rFonts w:hAnsi="宋体" w:cs="Times New Roman"/>
          <w:b/>
          <w:spacing w:val="2"/>
          <w:sz w:val="24"/>
        </w:rPr>
      </w:pPr>
      <w:r>
        <w:rPr>
          <w:rStyle w:val="41"/>
          <w:rFonts w:hint="eastAsia" w:hAnsi="宋体" w:cs="Times New Roman"/>
          <w:b/>
          <w:spacing w:val="2"/>
          <w:sz w:val="24"/>
        </w:rPr>
        <w:t>（一）比选第一次报价函</w:t>
      </w:r>
    </w:p>
    <w:p w14:paraId="4A46A326">
      <w:pPr>
        <w:pStyle w:val="55"/>
        <w:tabs>
          <w:tab w:val="left" w:pos="2003"/>
        </w:tabs>
        <w:snapToGrid w:val="0"/>
        <w:spacing w:line="360" w:lineRule="auto"/>
        <w:rPr>
          <w:rStyle w:val="41"/>
          <w:rFonts w:hAnsi="宋体"/>
        </w:rPr>
      </w:pPr>
      <w:r>
        <w:rPr>
          <w:rStyle w:val="41"/>
          <w:rFonts w:hAnsi="宋体"/>
          <w:w w:val="99"/>
          <w:u w:val="single" w:color="000000"/>
        </w:rPr>
        <w:t xml:space="preserve"> </w:t>
      </w:r>
      <w:r>
        <w:rPr>
          <w:rStyle w:val="41"/>
          <w:rFonts w:hAnsi="宋体"/>
          <w:u w:val="single" w:color="000000"/>
        </w:rPr>
        <w:tab/>
      </w:r>
      <w:r>
        <w:rPr>
          <w:rStyle w:val="41"/>
          <w:rFonts w:hAnsi="宋体"/>
          <w:spacing w:val="-1"/>
        </w:rPr>
        <w:t>（</w:t>
      </w:r>
      <w:r>
        <w:rPr>
          <w:rStyle w:val="41"/>
          <w:rFonts w:hAnsi="宋体"/>
          <w:spacing w:val="2"/>
        </w:rPr>
        <w:t>比选人</w:t>
      </w:r>
      <w:r>
        <w:rPr>
          <w:rStyle w:val="41"/>
          <w:rFonts w:hAnsi="宋体"/>
          <w:spacing w:val="-1"/>
        </w:rPr>
        <w:t>名</w:t>
      </w:r>
      <w:r>
        <w:rPr>
          <w:rStyle w:val="41"/>
          <w:rFonts w:hAnsi="宋体"/>
          <w:spacing w:val="2"/>
        </w:rPr>
        <w:t>称</w:t>
      </w:r>
      <w:r>
        <w:rPr>
          <w:rStyle w:val="41"/>
          <w:rFonts w:hAnsi="宋体"/>
        </w:rPr>
        <w:t>）</w:t>
      </w:r>
    </w:p>
    <w:p w14:paraId="0B00524E">
      <w:pPr>
        <w:snapToGrid w:val="0"/>
        <w:spacing w:before="8" w:line="360" w:lineRule="auto"/>
        <w:rPr>
          <w:rStyle w:val="41"/>
          <w:rFonts w:ascii="宋体"/>
          <w:sz w:val="21"/>
        </w:rPr>
      </w:pPr>
    </w:p>
    <w:p w14:paraId="4559AE8B">
      <w:pPr>
        <w:pStyle w:val="26"/>
        <w:spacing w:line="400" w:lineRule="exact"/>
        <w:ind w:firstLine="480"/>
        <w:rPr>
          <w:rFonts w:hint="default"/>
        </w:rPr>
      </w:pPr>
      <w:r>
        <w:t>1. 我方已仔细研究了贵方</w:t>
      </w:r>
      <w:r>
        <w:rPr>
          <w:u w:val="single"/>
        </w:rPr>
        <w:t>　　　　　　　　　　（项目名称）　</w:t>
      </w:r>
      <w:r>
        <w:t>比选文件（含补遗书）的全部内容，在完全理解并严格遵守比选文件的各项规定和要求的前提下，自愿参加本项目第</w:t>
      </w:r>
      <w:r>
        <w:rPr>
          <w:u w:val="single"/>
        </w:rPr>
        <w:t>　　　</w:t>
      </w:r>
      <w:r>
        <w:t>标段比选申请，愿以人民币</w:t>
      </w:r>
      <w:r>
        <w:rPr>
          <w:u w:val="single"/>
        </w:rPr>
        <w:t>　　　</w:t>
      </w:r>
      <w:r>
        <w:t>元　（大写：</w:t>
      </w:r>
      <w:r>
        <w:rPr>
          <w:u w:val="single"/>
        </w:rPr>
        <w:t>　　　　　　</w:t>
      </w:r>
      <w:r>
        <w:t>　）　的比选申请总价，按比选文件的要求完成比选文件规定的全部工作。</w:t>
      </w:r>
    </w:p>
    <w:p w14:paraId="74168514">
      <w:pPr>
        <w:pStyle w:val="26"/>
        <w:spacing w:line="400" w:lineRule="exact"/>
        <w:ind w:firstLine="480"/>
        <w:rPr>
          <w:rFonts w:hint="default"/>
        </w:rPr>
      </w:pPr>
      <w:r>
        <w:t>2. 试验室主任姓名：</w:t>
      </w:r>
      <w:r>
        <w:rPr>
          <w:u w:val="single"/>
        </w:rPr>
        <w:t xml:space="preserve">            </w:t>
      </w:r>
      <w:r>
        <w:t xml:space="preserve"> ，职（执）业证书名称：</w:t>
      </w:r>
      <w:r>
        <w:rPr>
          <w:u w:val="single"/>
        </w:rPr>
        <w:t xml:space="preserve">             </w:t>
      </w:r>
      <w:r>
        <w:t>，证书编号：</w:t>
      </w:r>
      <w:r>
        <w:rPr>
          <w:u w:val="single"/>
        </w:rPr>
        <w:t xml:space="preserve">            </w:t>
      </w:r>
      <w:r>
        <w:t xml:space="preserve"> 。</w:t>
      </w:r>
    </w:p>
    <w:p w14:paraId="026B3878">
      <w:pPr>
        <w:pStyle w:val="26"/>
        <w:spacing w:line="400" w:lineRule="exact"/>
        <w:ind w:firstLine="480"/>
        <w:rPr>
          <w:rFonts w:hint="default"/>
        </w:rPr>
      </w:pPr>
      <w:r>
        <w:t>3. 如我方中选，我方承诺：</w:t>
      </w:r>
    </w:p>
    <w:p w14:paraId="5C60A53B">
      <w:pPr>
        <w:pStyle w:val="26"/>
        <w:spacing w:line="400" w:lineRule="exact"/>
        <w:ind w:firstLine="480"/>
        <w:rPr>
          <w:rFonts w:hint="default"/>
        </w:rPr>
      </w:pPr>
      <w:r>
        <w:t>（1）我方将严格按照本项目比选文件 “主要人员最低条件要求” 派驻主要人员、按“其他人员要求”派驻人员，并与比选申请文件中提供的人员相同。</w:t>
      </w:r>
    </w:p>
    <w:p w14:paraId="1657254E">
      <w:pPr>
        <w:pStyle w:val="26"/>
        <w:spacing w:line="400" w:lineRule="exact"/>
        <w:ind w:firstLine="480"/>
        <w:rPr>
          <w:rFonts w:hint="default"/>
        </w:rPr>
      </w:pPr>
      <w:r>
        <w:t>（2）我方所送交的比选申请文件　（包括有关证明材料、澄清）　真实可信，不存在虚假或隐瞒。</w:t>
      </w:r>
    </w:p>
    <w:p w14:paraId="082E4990">
      <w:pPr>
        <w:pStyle w:val="26"/>
        <w:spacing w:line="400" w:lineRule="exact"/>
        <w:ind w:firstLine="480"/>
        <w:rPr>
          <w:rFonts w:hint="default"/>
        </w:rPr>
      </w:pPr>
      <w:r>
        <w:t>（3）我方所送交的比选申请文件未附有比选人不能接受的条件，权利义务符合比选文件规定：</w:t>
      </w:r>
    </w:p>
    <w:p w14:paraId="2B85D4E5">
      <w:pPr>
        <w:pStyle w:val="26"/>
        <w:spacing w:line="400" w:lineRule="exact"/>
        <w:ind w:firstLine="480"/>
        <w:rPr>
          <w:rFonts w:hint="default"/>
        </w:rPr>
      </w:pPr>
      <w:r>
        <w:t>4.在合同协议书正式签署生效之前，本比选申请函连同你方的中选通知书将构成我们双方之间共 同遵守的文件，对双方具有约束力。</w:t>
      </w:r>
    </w:p>
    <w:p w14:paraId="00331C49">
      <w:pPr>
        <w:pStyle w:val="26"/>
        <w:spacing w:line="400" w:lineRule="exact"/>
        <w:ind w:firstLine="480"/>
        <w:rPr>
          <w:rFonts w:hint="default"/>
        </w:rPr>
      </w:pPr>
      <w:r>
        <w:t>5我们理解，你单位不一定接受最低报价的比选申请文件或你单位接到的其他任何比选申请文件。同 时也理解，你单位不负担我们的任何比选申请费用。</w:t>
      </w:r>
    </w:p>
    <w:p w14:paraId="168D4F31">
      <w:pPr>
        <w:pStyle w:val="26"/>
        <w:spacing w:line="400" w:lineRule="exact"/>
        <w:ind w:firstLine="480"/>
        <w:rPr>
          <w:rFonts w:hint="default"/>
        </w:rPr>
      </w:pPr>
      <w:r>
        <w:t>6.</w:t>
      </w:r>
      <w:r>
        <w:rPr>
          <w:u w:val="single"/>
        </w:rPr>
        <w:t xml:space="preserve">            　　　　　　　　　　　　　　　</w:t>
      </w:r>
      <w:r>
        <w:t>（其他补充说明）。</w:t>
      </w:r>
    </w:p>
    <w:p w14:paraId="5B825AF4">
      <w:pPr>
        <w:pStyle w:val="26"/>
        <w:spacing w:line="400" w:lineRule="exact"/>
        <w:ind w:firstLine="0" w:firstLineChars="0"/>
        <w:rPr>
          <w:rFonts w:hint="default"/>
        </w:rPr>
      </w:pPr>
    </w:p>
    <w:p w14:paraId="183D4972">
      <w:pPr>
        <w:pStyle w:val="26"/>
        <w:spacing w:line="400" w:lineRule="exact"/>
        <w:ind w:firstLine="480"/>
        <w:jc w:val="right"/>
        <w:rPr>
          <w:rFonts w:hint="default"/>
        </w:rPr>
      </w:pPr>
    </w:p>
    <w:p w14:paraId="1CFC58D2">
      <w:pPr>
        <w:pStyle w:val="26"/>
        <w:spacing w:line="400" w:lineRule="exact"/>
        <w:ind w:firstLine="480"/>
        <w:jc w:val="right"/>
        <w:rPr>
          <w:rFonts w:hint="default"/>
        </w:rPr>
      </w:pPr>
    </w:p>
    <w:p w14:paraId="4D340713">
      <w:pPr>
        <w:pStyle w:val="26"/>
        <w:spacing w:line="400" w:lineRule="exact"/>
        <w:ind w:firstLine="480"/>
        <w:jc w:val="right"/>
        <w:rPr>
          <w:rFonts w:hint="default"/>
        </w:rPr>
      </w:pPr>
    </w:p>
    <w:p w14:paraId="4EEC2D85">
      <w:pPr>
        <w:pStyle w:val="26"/>
        <w:spacing w:line="400" w:lineRule="exact"/>
        <w:ind w:firstLine="480"/>
        <w:jc w:val="right"/>
        <w:rPr>
          <w:rFonts w:hint="default"/>
        </w:rPr>
      </w:pPr>
      <w:r>
        <w:rPr>
          <w:rFonts w:hint="eastAsia"/>
          <w:lang w:val="en-US" w:eastAsia="zh-CN"/>
        </w:rPr>
        <w:t xml:space="preserve">      </w:t>
      </w:r>
      <w:r>
        <w:t>比申请选 人：　　　　　（全称）　　　　　（盖单位章）</w:t>
      </w:r>
    </w:p>
    <w:p w14:paraId="54518D79">
      <w:pPr>
        <w:pStyle w:val="26"/>
        <w:spacing w:line="400" w:lineRule="exact"/>
        <w:ind w:firstLine="2640" w:firstLineChars="1100"/>
        <w:rPr>
          <w:rFonts w:hint="default"/>
        </w:rPr>
      </w:pPr>
      <w:r>
        <w:t>法定代表人或其委托代理人：   　（签字）</w:t>
      </w:r>
    </w:p>
    <w:p w14:paraId="5277B454">
      <w:pPr>
        <w:pStyle w:val="26"/>
        <w:spacing w:line="400" w:lineRule="exact"/>
        <w:ind w:firstLine="480"/>
        <w:jc w:val="right"/>
        <w:rPr>
          <w:rFonts w:hint="default"/>
        </w:rPr>
      </w:pPr>
      <w:r>
        <w:t>日  期：     年    月       日</w:t>
      </w:r>
    </w:p>
    <w:p w14:paraId="322C8195">
      <w:pPr>
        <w:pStyle w:val="26"/>
        <w:spacing w:line="400" w:lineRule="exact"/>
        <w:ind w:firstLine="480"/>
        <w:jc w:val="right"/>
        <w:rPr>
          <w:rFonts w:hint="default"/>
        </w:rPr>
        <w:sectPr>
          <w:footerReference r:id="rId16" w:type="default"/>
          <w:pgSz w:w="11906" w:h="16839"/>
          <w:pgMar w:top="1431" w:right="1459" w:bottom="1362" w:left="1539" w:header="0" w:footer="1202" w:gutter="0"/>
          <w:cols w:space="720" w:num="1"/>
        </w:sectPr>
      </w:pPr>
    </w:p>
    <w:p w14:paraId="15088815">
      <w:pPr>
        <w:pStyle w:val="55"/>
        <w:tabs>
          <w:tab w:val="left" w:pos="2003"/>
        </w:tabs>
        <w:snapToGrid w:val="0"/>
        <w:spacing w:line="360" w:lineRule="auto"/>
        <w:ind w:left="0"/>
        <w:jc w:val="center"/>
        <w:rPr>
          <w:rStyle w:val="41"/>
          <w:rFonts w:hAnsi="宋体" w:cs="Times New Roman"/>
          <w:b/>
          <w:spacing w:val="2"/>
          <w:sz w:val="24"/>
        </w:rPr>
      </w:pPr>
      <w:r>
        <w:rPr>
          <w:rStyle w:val="41"/>
          <w:rFonts w:hint="eastAsia" w:hAnsi="宋体" w:cs="Times New Roman"/>
          <w:b/>
          <w:spacing w:val="2"/>
          <w:sz w:val="24"/>
        </w:rPr>
        <w:t>（一）比选第二次（最终）报价函</w:t>
      </w:r>
    </w:p>
    <w:p w14:paraId="4DAF1604">
      <w:pPr>
        <w:pStyle w:val="55"/>
        <w:tabs>
          <w:tab w:val="left" w:pos="2003"/>
        </w:tabs>
        <w:snapToGrid w:val="0"/>
        <w:spacing w:line="360" w:lineRule="auto"/>
        <w:rPr>
          <w:rStyle w:val="41"/>
          <w:rFonts w:hAnsi="宋体"/>
        </w:rPr>
      </w:pPr>
      <w:r>
        <w:rPr>
          <w:rStyle w:val="41"/>
          <w:rFonts w:hAnsi="宋体"/>
          <w:w w:val="99"/>
          <w:u w:val="single" w:color="000000"/>
        </w:rPr>
        <w:t xml:space="preserve"> </w:t>
      </w:r>
      <w:r>
        <w:rPr>
          <w:rStyle w:val="41"/>
          <w:rFonts w:hAnsi="宋体"/>
          <w:u w:val="single" w:color="000000"/>
        </w:rPr>
        <w:tab/>
      </w:r>
      <w:r>
        <w:rPr>
          <w:rStyle w:val="41"/>
          <w:rFonts w:hAnsi="宋体"/>
          <w:spacing w:val="-1"/>
        </w:rPr>
        <w:t>（</w:t>
      </w:r>
      <w:r>
        <w:rPr>
          <w:rStyle w:val="41"/>
          <w:rFonts w:hAnsi="宋体"/>
          <w:spacing w:val="2"/>
        </w:rPr>
        <w:t>比选人</w:t>
      </w:r>
      <w:r>
        <w:rPr>
          <w:rStyle w:val="41"/>
          <w:rFonts w:hAnsi="宋体"/>
          <w:spacing w:val="-1"/>
        </w:rPr>
        <w:t>名</w:t>
      </w:r>
      <w:r>
        <w:rPr>
          <w:rStyle w:val="41"/>
          <w:rFonts w:hAnsi="宋体"/>
          <w:spacing w:val="2"/>
        </w:rPr>
        <w:t>称</w:t>
      </w:r>
      <w:r>
        <w:rPr>
          <w:rStyle w:val="41"/>
          <w:rFonts w:hAnsi="宋体"/>
        </w:rPr>
        <w:t>）</w:t>
      </w:r>
    </w:p>
    <w:p w14:paraId="2928680C">
      <w:pPr>
        <w:snapToGrid w:val="0"/>
        <w:spacing w:before="8" w:line="360" w:lineRule="auto"/>
        <w:rPr>
          <w:rStyle w:val="41"/>
          <w:rFonts w:ascii="宋体"/>
          <w:sz w:val="21"/>
        </w:rPr>
      </w:pPr>
    </w:p>
    <w:p w14:paraId="39930B80">
      <w:pPr>
        <w:pStyle w:val="26"/>
        <w:spacing w:line="400" w:lineRule="exact"/>
        <w:ind w:firstLine="480"/>
        <w:rPr>
          <w:rFonts w:hint="default"/>
        </w:rPr>
      </w:pPr>
      <w:r>
        <w:t>1. 我方已仔细研究了贵方</w:t>
      </w:r>
      <w:r>
        <w:rPr>
          <w:u w:val="single"/>
        </w:rPr>
        <w:t>　　　　　　　　　　（项目名称）　</w:t>
      </w:r>
      <w:r>
        <w:t>比选文件（含补遗书）的全部内容，在完全理解并严格遵守比选文件的各项规定和要求的前提下，自愿参加本项目第</w:t>
      </w:r>
      <w:r>
        <w:rPr>
          <w:u w:val="single"/>
        </w:rPr>
        <w:t>　　　</w:t>
      </w:r>
      <w:r>
        <w:t>标段比选申请，愿以人民币</w:t>
      </w:r>
      <w:r>
        <w:rPr>
          <w:u w:val="single"/>
        </w:rPr>
        <w:t>　　　</w:t>
      </w:r>
      <w:r>
        <w:t>元　（大写：</w:t>
      </w:r>
      <w:r>
        <w:rPr>
          <w:u w:val="single"/>
        </w:rPr>
        <w:t>　　　　　　</w:t>
      </w:r>
      <w:r>
        <w:t>　）　的比选申请总价，按比选文件的要求完成比选文件规定的全部工作。</w:t>
      </w:r>
    </w:p>
    <w:p w14:paraId="165F529D">
      <w:pPr>
        <w:pStyle w:val="26"/>
        <w:spacing w:line="400" w:lineRule="exact"/>
        <w:ind w:firstLine="480"/>
        <w:rPr>
          <w:rFonts w:hint="default"/>
        </w:rPr>
      </w:pPr>
      <w:r>
        <w:t>2. 试验室主任姓名：</w:t>
      </w:r>
      <w:r>
        <w:rPr>
          <w:u w:val="single"/>
        </w:rPr>
        <w:t xml:space="preserve">          </w:t>
      </w:r>
      <w:r>
        <w:t xml:space="preserve"> ，职（执）业证书名称：</w:t>
      </w:r>
      <w:r>
        <w:rPr>
          <w:u w:val="single"/>
        </w:rPr>
        <w:t xml:space="preserve">                 </w:t>
      </w:r>
      <w:r>
        <w:t>，证书编号：</w:t>
      </w:r>
      <w:r>
        <w:rPr>
          <w:u w:val="single"/>
        </w:rPr>
        <w:t xml:space="preserve">                 </w:t>
      </w:r>
      <w:r>
        <w:t xml:space="preserve"> 。</w:t>
      </w:r>
    </w:p>
    <w:p w14:paraId="44CA15C9">
      <w:pPr>
        <w:pStyle w:val="26"/>
        <w:spacing w:line="400" w:lineRule="exact"/>
        <w:ind w:firstLine="480"/>
        <w:rPr>
          <w:rFonts w:hint="default"/>
        </w:rPr>
      </w:pPr>
      <w:r>
        <w:t>3. 如我方中选，我方承诺：</w:t>
      </w:r>
    </w:p>
    <w:p w14:paraId="5E423A89">
      <w:pPr>
        <w:pStyle w:val="26"/>
        <w:spacing w:line="400" w:lineRule="exact"/>
        <w:ind w:firstLine="480"/>
        <w:rPr>
          <w:rFonts w:hint="default"/>
        </w:rPr>
      </w:pPr>
      <w:r>
        <w:t>（1）我方将严格按照本项目比选文件 “主要人员最低条件要求” 派驻主要人员、按“其他人员要求”派驻人员，并与比选申请文件中提供的人员相同。</w:t>
      </w:r>
    </w:p>
    <w:p w14:paraId="0B4B2E31">
      <w:pPr>
        <w:pStyle w:val="26"/>
        <w:spacing w:line="400" w:lineRule="exact"/>
        <w:ind w:firstLine="480"/>
        <w:rPr>
          <w:rFonts w:hint="default"/>
        </w:rPr>
      </w:pPr>
      <w:r>
        <w:t>（2）我方所送交的比选申请文件　（包括有关证明材料、澄清）　真实可信，不存在虚假或隐瞒。</w:t>
      </w:r>
    </w:p>
    <w:p w14:paraId="22D5AF1A">
      <w:pPr>
        <w:pStyle w:val="26"/>
        <w:spacing w:line="400" w:lineRule="exact"/>
        <w:ind w:firstLine="480"/>
        <w:rPr>
          <w:rFonts w:hint="default"/>
        </w:rPr>
      </w:pPr>
      <w:r>
        <w:t>（3）我方所送交的比选申请文件未附有比选人不能接受的条件，权利义务符合比选文件规定：</w:t>
      </w:r>
    </w:p>
    <w:p w14:paraId="4089AF7F">
      <w:pPr>
        <w:pStyle w:val="26"/>
        <w:spacing w:line="400" w:lineRule="exact"/>
        <w:ind w:firstLine="480"/>
        <w:rPr>
          <w:rFonts w:hint="default"/>
        </w:rPr>
      </w:pPr>
      <w:r>
        <w:t>4.在合同协议书正式签署生效之前，本比选申请函连同你方的中选通知书将构成我们双方之间共 同遵守的文件，对双方具有约束力。</w:t>
      </w:r>
    </w:p>
    <w:p w14:paraId="79C30FC2">
      <w:pPr>
        <w:pStyle w:val="26"/>
        <w:spacing w:line="400" w:lineRule="exact"/>
        <w:ind w:firstLine="480"/>
        <w:rPr>
          <w:rFonts w:hint="default"/>
        </w:rPr>
      </w:pPr>
      <w:r>
        <w:t>5.我们理解，你单位不一定接受最低报价的比选申请文件或你单位接到的其他任何比选申请文件。同 时也理解，你单位不负担我们的任何比选申请费用。</w:t>
      </w:r>
    </w:p>
    <w:p w14:paraId="7AD38287">
      <w:pPr>
        <w:pStyle w:val="26"/>
        <w:spacing w:line="400" w:lineRule="exact"/>
        <w:ind w:firstLine="480"/>
        <w:rPr>
          <w:rFonts w:hint="default"/>
        </w:rPr>
      </w:pPr>
      <w:r>
        <w:t>6.</w:t>
      </w:r>
      <w:r>
        <w:rPr>
          <w:u w:val="single"/>
        </w:rPr>
        <w:t xml:space="preserve">            　　　　　　　　　　　　　　　</w:t>
      </w:r>
      <w:r>
        <w:t>（其他补充说明）。</w:t>
      </w:r>
    </w:p>
    <w:p w14:paraId="3C88F0FA">
      <w:pPr>
        <w:pStyle w:val="26"/>
        <w:spacing w:line="400" w:lineRule="exact"/>
        <w:ind w:firstLine="0" w:firstLineChars="0"/>
        <w:rPr>
          <w:rFonts w:hint="default"/>
        </w:rPr>
      </w:pPr>
    </w:p>
    <w:p w14:paraId="3CEF4787">
      <w:pPr>
        <w:pStyle w:val="26"/>
        <w:spacing w:line="400" w:lineRule="exact"/>
        <w:ind w:firstLine="480"/>
        <w:jc w:val="center"/>
        <w:rPr>
          <w:rFonts w:hint="default"/>
        </w:rPr>
      </w:pPr>
      <w:r>
        <w:rPr>
          <w:rFonts w:hint="eastAsia"/>
          <w:lang w:val="en-US" w:eastAsia="zh-CN"/>
        </w:rPr>
        <w:t xml:space="preserve">                                    比选申请人 </w:t>
      </w:r>
      <w:r>
        <w:t>：　　　　　（全称）　　　　　（盖单位章）</w:t>
      </w:r>
    </w:p>
    <w:p w14:paraId="678A3DD9">
      <w:pPr>
        <w:pStyle w:val="26"/>
        <w:spacing w:line="400" w:lineRule="exact"/>
        <w:ind w:firstLine="2880" w:firstLineChars="1200"/>
        <w:rPr>
          <w:rFonts w:hint="default"/>
        </w:rPr>
      </w:pPr>
      <w:r>
        <w:t>法定代表人或其委托代理人：   　（签字）</w:t>
      </w:r>
    </w:p>
    <w:p w14:paraId="6736239B">
      <w:pPr>
        <w:pStyle w:val="26"/>
        <w:spacing w:line="400" w:lineRule="exact"/>
        <w:ind w:firstLine="480"/>
        <w:jc w:val="right"/>
        <w:rPr>
          <w:rFonts w:hint="default"/>
        </w:rPr>
      </w:pPr>
    </w:p>
    <w:p w14:paraId="5CABDB11">
      <w:pPr>
        <w:pStyle w:val="26"/>
        <w:spacing w:line="400" w:lineRule="exact"/>
        <w:ind w:firstLine="480"/>
        <w:jc w:val="right"/>
        <w:rPr>
          <w:rFonts w:hint="default"/>
        </w:rPr>
      </w:pPr>
      <w:r>
        <w:t>日  期：     年    月       日</w:t>
      </w:r>
    </w:p>
    <w:p w14:paraId="3B1161CB">
      <w:pPr>
        <w:pStyle w:val="55"/>
        <w:tabs>
          <w:tab w:val="left" w:pos="5572"/>
          <w:tab w:val="left" w:pos="6727"/>
          <w:tab w:val="left" w:pos="7883"/>
        </w:tabs>
        <w:snapToGrid w:val="0"/>
        <w:spacing w:line="309" w:lineRule="exact"/>
        <w:ind w:firstLine="442" w:firstLineChars="200"/>
        <w:rPr>
          <w:rStyle w:val="41"/>
          <w:rFonts w:ascii="Times New Roman" w:hAnsi="宋体" w:cs="宋体"/>
          <w:b/>
          <w:bCs/>
          <w:sz w:val="22"/>
          <w:szCs w:val="28"/>
        </w:rPr>
      </w:pPr>
    </w:p>
    <w:p w14:paraId="4EF616C7">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4B549BA6">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29E50040">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651F95E7">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6D9252DA">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6307CE28">
      <w:pPr>
        <w:pStyle w:val="55"/>
        <w:tabs>
          <w:tab w:val="left" w:pos="5572"/>
          <w:tab w:val="left" w:pos="6727"/>
          <w:tab w:val="left" w:pos="7883"/>
        </w:tabs>
        <w:snapToGrid w:val="0"/>
        <w:spacing w:line="309" w:lineRule="exact"/>
        <w:ind w:firstLine="442" w:firstLineChars="200"/>
        <w:rPr>
          <w:rFonts w:hAnsi="宋体" w:cs="宋体"/>
          <w:u w:val="single"/>
        </w:rPr>
        <w:sectPr>
          <w:footerReference r:id="rId17" w:type="default"/>
          <w:pgSz w:w="11849" w:h="16781"/>
          <w:pgMar w:top="1440" w:right="1083" w:bottom="1440" w:left="1083" w:header="907" w:footer="964" w:gutter="0"/>
          <w:cols w:space="720" w:num="1"/>
          <w:docGrid w:type="lines" w:linePitch="312" w:charSpace="0"/>
        </w:sectPr>
      </w:pPr>
      <w:r>
        <w:rPr>
          <w:rStyle w:val="41"/>
          <w:rFonts w:hint="eastAsia" w:hAnsi="宋体"/>
          <w:b/>
          <w:bCs/>
          <w:sz w:val="22"/>
          <w:szCs w:val="28"/>
        </w:rPr>
        <w:t>备注：本表不装订在比选申请文件内，单独另封，比选申请人可准备好表格并盖好企业公章及法定代表人印鉴，待最终报价时按比选人规定时间填好数据并密封后提交评标委员会。</w:t>
      </w:r>
    </w:p>
    <w:p w14:paraId="7E8B3BC0">
      <w:pPr>
        <w:pStyle w:val="6"/>
      </w:pPr>
    </w:p>
    <w:p w14:paraId="2F42135A">
      <w:pPr>
        <w:pStyle w:val="6"/>
      </w:pPr>
      <w:r>
        <w:rPr>
          <w:rFonts w:hint="eastAsia"/>
        </w:rPr>
        <w:t>比选申请报价说明</w:t>
      </w:r>
    </w:p>
    <w:p w14:paraId="45449FC2">
      <w:pPr>
        <w:pStyle w:val="26"/>
        <w:ind w:firstLine="480"/>
        <w:rPr>
          <w:rFonts w:hint="default"/>
        </w:rPr>
      </w:pPr>
      <w:r>
        <w:rPr>
          <w:rFonts w:hint="default"/>
        </w:rPr>
        <w:t>1</w:t>
      </w:r>
      <w:r>
        <w:t xml:space="preserve">、本项目“比选申请报价汇总表”应与“比选申请人须知”、“合同条款”等文件结合起来理解或解释。 </w:t>
      </w:r>
    </w:p>
    <w:p w14:paraId="10E94850">
      <w:pPr>
        <w:pStyle w:val="26"/>
        <w:ind w:firstLine="480"/>
        <w:rPr>
          <w:rFonts w:hint="default"/>
        </w:rPr>
      </w:pPr>
      <w:r>
        <w:rPr>
          <w:rFonts w:hint="default"/>
        </w:rPr>
        <w:t>2</w:t>
      </w:r>
      <w:r>
        <w:t xml:space="preserve">、比选申请报价汇总表包含了完成合同所需的所有费用（包括但不限于：人员工资、保险、现场服务费用、办公、生活设施、试验检测设施、设备、试验检测信息化费用、相关资料费及各种税金、规费等所有费用，以及合同明示或暗示的所有责任、义务和一般风险），比选申请人报价时，比选申请报价不得高于“最高比选申请限价”，否则，所有报价作无效处理。 </w:t>
      </w:r>
    </w:p>
    <w:p w14:paraId="299CE0C8">
      <w:pPr>
        <w:pStyle w:val="26"/>
        <w:ind w:firstLine="480"/>
        <w:rPr>
          <w:rFonts w:hint="default"/>
        </w:rPr>
      </w:pPr>
      <w:r>
        <w:rPr>
          <w:rFonts w:hint="default"/>
        </w:rPr>
        <w:t>3</w:t>
      </w:r>
      <w:r>
        <w:t xml:space="preserve">、为实施本项目的设施、设备、服务费等附属的配套费用包括由报价单位自备、自办、自购或租用设备(仅计折旧费、消耗费及维修保养费)的费用，包含在工程报价单价中，不单独报价。 </w:t>
      </w:r>
    </w:p>
    <w:p w14:paraId="0C82873A">
      <w:pPr>
        <w:pStyle w:val="26"/>
        <w:ind w:firstLine="480"/>
        <w:rPr>
          <w:rFonts w:hint="default"/>
        </w:rPr>
      </w:pPr>
      <w:r>
        <w:rPr>
          <w:rFonts w:hint="default"/>
        </w:rPr>
        <w:t>4</w:t>
      </w:r>
      <w:r>
        <w:t xml:space="preserve">、监理、试验检测人员费用：包含了所有人员的工资、津贴、加班、补贴、保险、培训、奖金及各种补贴等一切费用。 </w:t>
      </w:r>
    </w:p>
    <w:p w14:paraId="5EF96C75">
      <w:pPr>
        <w:pStyle w:val="26"/>
        <w:ind w:firstLine="480"/>
        <w:rPr>
          <w:rFonts w:hint="default"/>
        </w:rPr>
      </w:pPr>
      <w:r>
        <w:rPr>
          <w:rFonts w:hint="default"/>
        </w:rPr>
        <w:t>5</w:t>
      </w:r>
      <w:r>
        <w:t xml:space="preserve">、“报价汇总表”为通用表格，比选申请人应根据本比选项目工作内容，按照表格格式详细填写，以免遗漏或有误。比选申请人没有报价的项目，比选人将认为有关费用已包含在其它项目之中，不另行支付。凡汇总表项目中未包含的但在技术服务中又必须完成的工作内容，均被认为已包含在汇总表各项目报价中，比选人不另行支付。 </w:t>
      </w:r>
    </w:p>
    <w:p w14:paraId="3DF6C7C9">
      <w:pPr>
        <w:pStyle w:val="26"/>
        <w:ind w:firstLine="480"/>
        <w:rPr>
          <w:rFonts w:hint="default"/>
        </w:rPr>
      </w:pPr>
      <w:r>
        <w:t xml:space="preserve">6、比选申请报价汇总表中的报价为完成监理及试验检测工作所需的全部费用，在合同履行期间固定不变，若项目延期，按照专用合同条款8.1执行。 </w:t>
      </w:r>
    </w:p>
    <w:p w14:paraId="22087991">
      <w:pPr>
        <w:pStyle w:val="26"/>
        <w:ind w:firstLine="480"/>
        <w:rPr>
          <w:rFonts w:hint="default"/>
        </w:rPr>
      </w:pPr>
      <w:r>
        <w:t>7、“比选申请报价表”中各项金额均以人民币(元)结算。</w:t>
      </w:r>
    </w:p>
    <w:p w14:paraId="47816F48">
      <w:pPr>
        <w:pStyle w:val="2"/>
        <w:ind w:left="480" w:firstLine="480"/>
        <w:rPr>
          <w:rFonts w:hAnsi="宋体" w:cs="宋体"/>
          <w:position w:val="1"/>
          <w:sz w:val="24"/>
          <w:szCs w:val="24"/>
          <w14:textOutline w14:w="5105" w14:cap="sq" w14:cmpd="sng" w14:algn="ctr">
            <w14:solidFill>
              <w14:srgbClr w14:val="000000"/>
            </w14:solidFill>
            <w14:prstDash w14:val="solid"/>
            <w14:bevel/>
          </w14:textOutline>
        </w:rPr>
        <w:sectPr>
          <w:footerReference r:id="rId18" w:type="default"/>
          <w:pgSz w:w="11906" w:h="16839"/>
          <w:pgMar w:top="1431" w:right="1528" w:bottom="1362" w:left="1541" w:header="0" w:footer="1202" w:gutter="0"/>
          <w:cols w:space="720" w:num="1"/>
        </w:sectPr>
      </w:pPr>
    </w:p>
    <w:tbl>
      <w:tblPr>
        <w:tblStyle w:val="18"/>
        <w:tblW w:w="5000" w:type="pct"/>
        <w:tblInd w:w="0" w:type="dxa"/>
        <w:tblLayout w:type="fixed"/>
        <w:tblCellMar>
          <w:top w:w="0" w:type="dxa"/>
          <w:left w:w="108" w:type="dxa"/>
          <w:bottom w:w="0" w:type="dxa"/>
          <w:right w:w="108" w:type="dxa"/>
        </w:tblCellMar>
      </w:tblPr>
      <w:tblGrid>
        <w:gridCol w:w="816"/>
        <w:gridCol w:w="4510"/>
        <w:gridCol w:w="703"/>
        <w:gridCol w:w="3024"/>
      </w:tblGrid>
      <w:tr w14:paraId="3CC6D5FF">
        <w:tblPrEx>
          <w:tblCellMar>
            <w:top w:w="0" w:type="dxa"/>
            <w:left w:w="108" w:type="dxa"/>
            <w:bottom w:w="0" w:type="dxa"/>
            <w:right w:w="108" w:type="dxa"/>
          </w:tblCellMar>
        </w:tblPrEx>
        <w:trPr>
          <w:trHeight w:val="803" w:hRule="atLeast"/>
        </w:trPr>
        <w:tc>
          <w:tcPr>
            <w:tcW w:w="9053" w:type="dxa"/>
            <w:gridSpan w:val="4"/>
            <w:tcBorders>
              <w:top w:val="nil"/>
              <w:left w:val="nil"/>
              <w:bottom w:val="nil"/>
              <w:right w:val="nil"/>
            </w:tcBorders>
            <w:shd w:val="clear" w:color="auto" w:fill="auto"/>
            <w:vAlign w:val="center"/>
          </w:tcPr>
          <w:p w14:paraId="662112B5">
            <w:pPr>
              <w:jc w:val="center"/>
              <w:textAlignment w:val="center"/>
              <w:rPr>
                <w:rFonts w:ascii="宋体" w:hAnsi="宋体" w:cs="宋体"/>
                <w:b/>
                <w:bCs/>
                <w:color w:val="000000"/>
                <w:sz w:val="28"/>
                <w:szCs w:val="28"/>
              </w:rPr>
            </w:pPr>
            <w:r>
              <w:rPr>
                <w:rFonts w:hint="eastAsia" w:ascii="宋体" w:hAnsi="宋体" w:cs="宋体"/>
                <w:b/>
                <w:bCs/>
                <w:snapToGrid w:val="0"/>
                <w:color w:val="000000"/>
                <w:sz w:val="28"/>
                <w:szCs w:val="28"/>
                <w:lang w:bidi="ar"/>
              </w:rPr>
              <w:t>监理试验室比选申请报价汇总表</w:t>
            </w:r>
          </w:p>
        </w:tc>
      </w:tr>
      <w:tr w14:paraId="0A55FA2B">
        <w:tblPrEx>
          <w:tblCellMar>
            <w:top w:w="0" w:type="dxa"/>
            <w:left w:w="108" w:type="dxa"/>
            <w:bottom w:w="0" w:type="dxa"/>
            <w:right w:w="108" w:type="dxa"/>
          </w:tblCellMar>
        </w:tblPrEx>
        <w:trPr>
          <w:trHeight w:val="398" w:hRule="atLeast"/>
        </w:trPr>
        <w:tc>
          <w:tcPr>
            <w:tcW w:w="5326" w:type="dxa"/>
            <w:gridSpan w:val="2"/>
            <w:tcBorders>
              <w:top w:val="nil"/>
              <w:left w:val="nil"/>
              <w:bottom w:val="nil"/>
              <w:right w:val="nil"/>
            </w:tcBorders>
            <w:shd w:val="clear" w:color="auto" w:fill="auto"/>
            <w:vAlign w:val="center"/>
          </w:tcPr>
          <w:p w14:paraId="320D1164">
            <w:pPr>
              <w:textAlignment w:val="center"/>
              <w:rPr>
                <w:rFonts w:hint="default" w:ascii="宋体" w:hAnsi="宋体" w:eastAsia="宋体" w:cs="宋体"/>
                <w:color w:val="000000"/>
                <w:sz w:val="20"/>
                <w:szCs w:val="20"/>
                <w:lang w:val="en-US" w:eastAsia="zh-CN"/>
              </w:rPr>
            </w:pPr>
            <w:r>
              <w:rPr>
                <w:rFonts w:hint="eastAsia" w:ascii="宋体" w:hAnsi="宋体" w:cs="宋体"/>
                <w:snapToGrid w:val="0"/>
                <w:color w:val="000000"/>
                <w:sz w:val="20"/>
                <w:szCs w:val="20"/>
                <w:lang w:bidi="ar"/>
              </w:rPr>
              <w:t>标段：</w:t>
            </w:r>
            <w:r>
              <w:rPr>
                <w:rFonts w:hint="eastAsia" w:ascii="宋体" w:hAnsi="宋体" w:cs="宋体"/>
                <w:snapToGrid w:val="0"/>
                <w:color w:val="000000"/>
                <w:sz w:val="20"/>
                <w:szCs w:val="20"/>
                <w:lang w:val="en-US" w:eastAsia="zh-CN" w:bidi="ar"/>
              </w:rPr>
              <w:t>XQSY</w:t>
            </w:r>
          </w:p>
        </w:tc>
        <w:tc>
          <w:tcPr>
            <w:tcW w:w="703" w:type="dxa"/>
            <w:tcBorders>
              <w:top w:val="nil"/>
              <w:left w:val="nil"/>
              <w:bottom w:val="nil"/>
              <w:right w:val="nil"/>
            </w:tcBorders>
            <w:shd w:val="clear" w:color="auto" w:fill="auto"/>
            <w:vAlign w:val="center"/>
          </w:tcPr>
          <w:p w14:paraId="1626C1A1">
            <w:pPr>
              <w:rPr>
                <w:rFonts w:ascii="宋体" w:hAnsi="宋体" w:cs="宋体"/>
                <w:color w:val="000000"/>
                <w:sz w:val="20"/>
                <w:szCs w:val="20"/>
              </w:rPr>
            </w:pPr>
          </w:p>
        </w:tc>
        <w:tc>
          <w:tcPr>
            <w:tcW w:w="3024" w:type="dxa"/>
            <w:tcBorders>
              <w:top w:val="nil"/>
              <w:left w:val="nil"/>
              <w:bottom w:val="nil"/>
              <w:right w:val="nil"/>
            </w:tcBorders>
            <w:shd w:val="clear" w:color="auto" w:fill="auto"/>
            <w:vAlign w:val="center"/>
          </w:tcPr>
          <w:p w14:paraId="14848B5D">
            <w:pPr>
              <w:jc w:val="right"/>
              <w:textAlignment w:val="center"/>
              <w:rPr>
                <w:rFonts w:ascii="宋体" w:hAnsi="宋体" w:cs="宋体"/>
                <w:color w:val="000000"/>
                <w:sz w:val="20"/>
                <w:szCs w:val="20"/>
              </w:rPr>
            </w:pPr>
            <w:r>
              <w:rPr>
                <w:rFonts w:hint="eastAsia" w:ascii="宋体" w:hAnsi="宋体" w:cs="宋体"/>
                <w:snapToGrid w:val="0"/>
                <w:color w:val="000000"/>
                <w:sz w:val="20"/>
                <w:szCs w:val="20"/>
                <w:lang w:bidi="ar"/>
              </w:rPr>
              <w:t xml:space="preserve">           表1</w:t>
            </w:r>
          </w:p>
        </w:tc>
      </w:tr>
      <w:tr w14:paraId="53681298">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67F5">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序号</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2D53">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报价内容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148C">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单位</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DBD3">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金额（元）</w:t>
            </w:r>
          </w:p>
        </w:tc>
      </w:tr>
      <w:tr w14:paraId="4D0E5A9B">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2405">
            <w:pPr>
              <w:jc w:val="center"/>
              <w:textAlignment w:val="center"/>
              <w:rPr>
                <w:rFonts w:ascii="宋体" w:hAnsi="宋体" w:cs="宋体"/>
                <w:color w:val="000000"/>
                <w:sz w:val="20"/>
                <w:szCs w:val="20"/>
              </w:rPr>
            </w:pPr>
            <w:r>
              <w:rPr>
                <w:rFonts w:ascii="宋体" w:hAnsi="宋体" w:cs="宋体"/>
                <w:snapToGrid w:val="0"/>
                <w:color w:val="000000"/>
                <w:sz w:val="20"/>
                <w:szCs w:val="20"/>
                <w:lang w:bidi="ar"/>
              </w:rPr>
              <w:t>1</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916A">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监理试验室人员费用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9375">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DC79">
            <w:pPr>
              <w:jc w:val="center"/>
              <w:textAlignment w:val="center"/>
              <w:rPr>
                <w:rFonts w:ascii="宋体" w:hAnsi="宋体" w:cs="宋体"/>
                <w:color w:val="000000"/>
                <w:sz w:val="20"/>
                <w:szCs w:val="20"/>
              </w:rPr>
            </w:pPr>
          </w:p>
        </w:tc>
      </w:tr>
      <w:tr w14:paraId="4C73782A">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4F15">
            <w:pPr>
              <w:jc w:val="center"/>
              <w:textAlignment w:val="center"/>
              <w:rPr>
                <w:rFonts w:ascii="宋体" w:hAnsi="宋体" w:cs="宋体"/>
                <w:color w:val="000000"/>
                <w:sz w:val="20"/>
                <w:szCs w:val="20"/>
              </w:rPr>
            </w:pPr>
            <w:r>
              <w:rPr>
                <w:rFonts w:ascii="宋体" w:hAnsi="宋体" w:cs="宋体"/>
                <w:snapToGrid w:val="0"/>
                <w:color w:val="000000"/>
                <w:sz w:val="20"/>
                <w:szCs w:val="20"/>
                <w:lang w:bidi="ar"/>
              </w:rPr>
              <w:t>2</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F948">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监理试验室办公设施费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9779">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B070">
            <w:pPr>
              <w:jc w:val="center"/>
              <w:textAlignment w:val="center"/>
              <w:rPr>
                <w:rFonts w:ascii="宋体" w:hAnsi="宋体" w:cs="宋体"/>
                <w:color w:val="000000"/>
                <w:sz w:val="20"/>
                <w:szCs w:val="20"/>
              </w:rPr>
            </w:pPr>
          </w:p>
        </w:tc>
      </w:tr>
      <w:tr w14:paraId="353605E3">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25E9">
            <w:pPr>
              <w:jc w:val="center"/>
              <w:textAlignment w:val="center"/>
              <w:rPr>
                <w:rFonts w:ascii="宋体" w:hAnsi="宋体" w:cs="宋体"/>
                <w:color w:val="000000"/>
                <w:sz w:val="20"/>
                <w:szCs w:val="20"/>
              </w:rPr>
            </w:pPr>
            <w:r>
              <w:rPr>
                <w:rFonts w:ascii="宋体" w:hAnsi="宋体" w:cs="宋体"/>
                <w:snapToGrid w:val="0"/>
                <w:color w:val="000000"/>
                <w:sz w:val="20"/>
                <w:szCs w:val="20"/>
                <w:lang w:bidi="ar"/>
              </w:rPr>
              <w:t>3</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25C7">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监理试验室生活设施费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755B">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CEF6">
            <w:pPr>
              <w:jc w:val="center"/>
              <w:textAlignment w:val="center"/>
              <w:rPr>
                <w:rFonts w:ascii="宋体" w:hAnsi="宋体" w:cs="宋体"/>
                <w:color w:val="000000"/>
                <w:sz w:val="20"/>
                <w:szCs w:val="20"/>
              </w:rPr>
            </w:pPr>
          </w:p>
        </w:tc>
      </w:tr>
      <w:tr w14:paraId="057FF2A4">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8440">
            <w:pPr>
              <w:jc w:val="center"/>
              <w:textAlignment w:val="center"/>
              <w:rPr>
                <w:rFonts w:ascii="宋体" w:hAnsi="宋体" w:cs="宋体"/>
                <w:color w:val="000000"/>
                <w:sz w:val="20"/>
                <w:szCs w:val="20"/>
              </w:rPr>
            </w:pPr>
            <w:r>
              <w:rPr>
                <w:rFonts w:ascii="宋体" w:hAnsi="宋体" w:cs="宋体"/>
                <w:snapToGrid w:val="0"/>
                <w:color w:val="000000"/>
                <w:sz w:val="20"/>
                <w:szCs w:val="20"/>
                <w:lang w:bidi="ar"/>
              </w:rPr>
              <w:t>4</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37C8">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监理试验室汽车费</w:t>
            </w:r>
          </w:p>
        </w:tc>
        <w:tc>
          <w:tcPr>
            <w:tcW w:w="703" w:type="dxa"/>
            <w:tcBorders>
              <w:top w:val="single" w:color="000000" w:sz="4" w:space="0"/>
              <w:left w:val="single" w:color="000000" w:sz="4" w:space="0"/>
              <w:bottom w:val="single" w:color="000000" w:sz="4" w:space="0"/>
              <w:right w:val="nil"/>
            </w:tcBorders>
            <w:shd w:val="clear" w:color="auto" w:fill="auto"/>
            <w:vAlign w:val="center"/>
          </w:tcPr>
          <w:p w14:paraId="24F0CC0B">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9313">
            <w:pPr>
              <w:jc w:val="center"/>
              <w:textAlignment w:val="center"/>
              <w:rPr>
                <w:rFonts w:ascii="宋体" w:hAnsi="宋体" w:cs="宋体"/>
                <w:color w:val="000000"/>
                <w:sz w:val="20"/>
                <w:szCs w:val="20"/>
              </w:rPr>
            </w:pPr>
          </w:p>
        </w:tc>
      </w:tr>
      <w:tr w14:paraId="11BA106D">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8AAD">
            <w:pPr>
              <w:jc w:val="center"/>
              <w:textAlignment w:val="center"/>
              <w:rPr>
                <w:rFonts w:ascii="宋体" w:hAnsi="宋体" w:cs="宋体"/>
                <w:b/>
                <w:bCs/>
                <w:color w:val="000000"/>
                <w:sz w:val="20"/>
                <w:szCs w:val="20"/>
              </w:rPr>
            </w:pPr>
            <w:r>
              <w:rPr>
                <w:rFonts w:ascii="宋体" w:hAnsi="宋体" w:cs="宋体"/>
                <w:b/>
                <w:bCs/>
                <w:snapToGrid w:val="0"/>
                <w:color w:val="000000"/>
                <w:sz w:val="20"/>
                <w:szCs w:val="20"/>
                <w:lang w:bidi="ar"/>
              </w:rPr>
              <w:t>5</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C304">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各项费用合计（</w:t>
            </w:r>
            <w:r>
              <w:rPr>
                <w:rFonts w:ascii="宋体" w:hAnsi="宋体" w:cs="宋体"/>
                <w:b/>
                <w:bCs/>
                <w:snapToGrid w:val="0"/>
                <w:color w:val="000000"/>
                <w:sz w:val="20"/>
                <w:szCs w:val="20"/>
                <w:lang w:bidi="ar"/>
              </w:rPr>
              <w:t>5</w:t>
            </w:r>
            <w:r>
              <w:rPr>
                <w:rFonts w:hint="eastAsia" w:ascii="宋体" w:hAnsi="宋体" w:cs="宋体"/>
                <w:b/>
                <w:bCs/>
                <w:snapToGrid w:val="0"/>
                <w:color w:val="000000"/>
                <w:sz w:val="20"/>
                <w:szCs w:val="20"/>
                <w:lang w:bidi="ar"/>
              </w:rPr>
              <w:t>=</w:t>
            </w:r>
            <w:r>
              <w:rPr>
                <w:rFonts w:ascii="宋体" w:hAnsi="宋体" w:cs="宋体"/>
                <w:b/>
                <w:bCs/>
                <w:snapToGrid w:val="0"/>
                <w:color w:val="000000"/>
                <w:sz w:val="20"/>
                <w:szCs w:val="20"/>
                <w:lang w:bidi="ar"/>
              </w:rPr>
              <w:t>1+</w:t>
            </w:r>
            <w:r>
              <w:rPr>
                <w:rFonts w:hint="eastAsia" w:ascii="宋体" w:hAnsi="宋体" w:cs="宋体"/>
                <w:b/>
                <w:bCs/>
                <w:snapToGrid w:val="0"/>
                <w:color w:val="000000"/>
                <w:sz w:val="20"/>
                <w:szCs w:val="20"/>
                <w:lang w:bidi="ar"/>
              </w:rPr>
              <w:t>2+3+4）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6ECA">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6FE1">
            <w:pPr>
              <w:jc w:val="center"/>
              <w:textAlignment w:val="center"/>
              <w:rPr>
                <w:rFonts w:ascii="宋体" w:hAnsi="宋体" w:cs="宋体"/>
                <w:b/>
                <w:bCs/>
                <w:color w:val="000000"/>
                <w:sz w:val="20"/>
                <w:szCs w:val="20"/>
              </w:rPr>
            </w:pPr>
          </w:p>
        </w:tc>
      </w:tr>
      <w:tr w14:paraId="3331BFF1">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BACF">
            <w:pPr>
              <w:jc w:val="center"/>
              <w:textAlignment w:val="center"/>
              <w:rPr>
                <w:rFonts w:ascii="宋体" w:hAnsi="宋体" w:cs="宋体"/>
                <w:b/>
                <w:bCs/>
                <w:color w:val="000000"/>
                <w:sz w:val="20"/>
                <w:szCs w:val="20"/>
              </w:rPr>
            </w:pPr>
            <w:r>
              <w:rPr>
                <w:rFonts w:ascii="宋体" w:hAnsi="宋体" w:cs="宋体"/>
                <w:b/>
                <w:bCs/>
                <w:snapToGrid w:val="0"/>
                <w:color w:val="000000"/>
                <w:sz w:val="20"/>
                <w:szCs w:val="20"/>
                <w:lang w:bidi="ar"/>
              </w:rPr>
              <w:t>6</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1A63">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管理费及税金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7078">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8718">
            <w:pPr>
              <w:jc w:val="center"/>
              <w:textAlignment w:val="center"/>
              <w:rPr>
                <w:rFonts w:ascii="宋体" w:hAnsi="宋体" w:cs="宋体"/>
                <w:b/>
                <w:bCs/>
                <w:color w:val="000000"/>
                <w:sz w:val="20"/>
                <w:szCs w:val="20"/>
              </w:rPr>
            </w:pPr>
          </w:p>
        </w:tc>
      </w:tr>
      <w:tr w14:paraId="1353CD08">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ED37">
            <w:pPr>
              <w:jc w:val="center"/>
              <w:textAlignment w:val="center"/>
              <w:rPr>
                <w:rFonts w:ascii="宋体" w:hAnsi="宋体" w:cs="宋体"/>
                <w:b/>
                <w:bCs/>
                <w:color w:val="000000"/>
                <w:sz w:val="20"/>
                <w:szCs w:val="20"/>
              </w:rPr>
            </w:pPr>
            <w:r>
              <w:rPr>
                <w:rFonts w:ascii="宋体" w:hAnsi="宋体" w:cs="宋体"/>
                <w:b/>
                <w:bCs/>
                <w:snapToGrid w:val="0"/>
                <w:color w:val="000000"/>
                <w:sz w:val="20"/>
                <w:szCs w:val="20"/>
                <w:lang w:bidi="ar"/>
              </w:rPr>
              <w:t>7</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E03E">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利润</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6CD2">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4D6">
            <w:pPr>
              <w:jc w:val="center"/>
              <w:textAlignment w:val="center"/>
              <w:rPr>
                <w:rFonts w:ascii="宋体" w:hAnsi="宋体" w:cs="宋体"/>
                <w:b/>
                <w:bCs/>
                <w:color w:val="000000"/>
                <w:sz w:val="20"/>
                <w:szCs w:val="20"/>
              </w:rPr>
            </w:pPr>
          </w:p>
        </w:tc>
      </w:tr>
      <w:tr w14:paraId="1858DBF9">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5305">
            <w:pPr>
              <w:jc w:val="center"/>
              <w:textAlignment w:val="center"/>
              <w:rPr>
                <w:rFonts w:ascii="宋体" w:hAnsi="宋体" w:cs="宋体"/>
                <w:b/>
                <w:bCs/>
                <w:color w:val="000000"/>
                <w:sz w:val="20"/>
                <w:szCs w:val="20"/>
              </w:rPr>
            </w:pPr>
            <w:r>
              <w:rPr>
                <w:rFonts w:ascii="宋体" w:hAnsi="宋体" w:cs="宋体"/>
                <w:b/>
                <w:bCs/>
                <w:snapToGrid w:val="0"/>
                <w:color w:val="000000"/>
                <w:sz w:val="20"/>
                <w:szCs w:val="20"/>
                <w:lang w:bidi="ar"/>
              </w:rPr>
              <w:t>8</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6534">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比选申请总价 （</w:t>
            </w:r>
            <w:r>
              <w:rPr>
                <w:rFonts w:ascii="宋体" w:hAnsi="宋体" w:cs="宋体"/>
                <w:b/>
                <w:bCs/>
                <w:snapToGrid w:val="0"/>
                <w:color w:val="000000"/>
                <w:sz w:val="20"/>
                <w:szCs w:val="20"/>
                <w:lang w:bidi="ar"/>
              </w:rPr>
              <w:t>8</w:t>
            </w:r>
            <w:r>
              <w:rPr>
                <w:rFonts w:hint="eastAsia" w:ascii="宋体" w:hAnsi="宋体" w:cs="宋体"/>
                <w:b/>
                <w:bCs/>
                <w:snapToGrid w:val="0"/>
                <w:color w:val="000000"/>
                <w:sz w:val="20"/>
                <w:szCs w:val="20"/>
                <w:lang w:bidi="ar"/>
              </w:rPr>
              <w:t>=</w:t>
            </w:r>
            <w:r>
              <w:rPr>
                <w:rFonts w:ascii="宋体" w:hAnsi="宋体" w:cs="宋体"/>
                <w:b/>
                <w:bCs/>
                <w:snapToGrid w:val="0"/>
                <w:color w:val="000000"/>
                <w:sz w:val="20"/>
                <w:szCs w:val="20"/>
                <w:lang w:bidi="ar"/>
              </w:rPr>
              <w:t>5+</w:t>
            </w:r>
            <w:r>
              <w:rPr>
                <w:rFonts w:hint="eastAsia" w:ascii="宋体" w:hAnsi="宋体" w:cs="宋体"/>
                <w:b/>
                <w:bCs/>
                <w:snapToGrid w:val="0"/>
                <w:color w:val="000000"/>
                <w:sz w:val="20"/>
                <w:szCs w:val="20"/>
                <w:lang w:bidi="ar"/>
              </w:rPr>
              <w:t>6+7）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3495">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5BBD">
            <w:pPr>
              <w:jc w:val="center"/>
              <w:textAlignment w:val="center"/>
              <w:rPr>
                <w:rFonts w:ascii="宋体" w:hAnsi="宋体" w:cs="宋体"/>
                <w:b/>
                <w:bCs/>
                <w:color w:val="000000"/>
                <w:sz w:val="20"/>
                <w:szCs w:val="20"/>
              </w:rPr>
            </w:pPr>
          </w:p>
        </w:tc>
      </w:tr>
    </w:tbl>
    <w:p w14:paraId="1FAF28A8">
      <w:pPr>
        <w:spacing w:before="77" w:line="371" w:lineRule="exact"/>
        <w:ind w:left="2318"/>
        <w:outlineLvl w:val="1"/>
        <w:rPr>
          <w:rFonts w:ascii="宋体" w:hAnsi="宋体" w:cs="宋体"/>
          <w:position w:val="1"/>
          <w:sz w:val="28"/>
          <w:szCs w:val="28"/>
          <w14:textOutline w14:w="5105" w14:cap="sq" w14:cmpd="sng" w14:algn="ctr">
            <w14:solidFill>
              <w14:srgbClr w14:val="000000"/>
            </w14:solidFill>
            <w14:prstDash w14:val="solid"/>
            <w14:bevel/>
          </w14:textOutline>
        </w:rPr>
        <w:sectPr>
          <w:pgSz w:w="11906" w:h="16839"/>
          <w:pgMar w:top="1431" w:right="1528" w:bottom="1362" w:left="1541" w:header="0" w:footer="1202" w:gutter="0"/>
          <w:cols w:space="720" w:num="1"/>
        </w:sectPr>
      </w:pPr>
    </w:p>
    <w:tbl>
      <w:tblPr>
        <w:tblStyle w:val="18"/>
        <w:tblW w:w="5000" w:type="pct"/>
        <w:tblInd w:w="0" w:type="dxa"/>
        <w:tblLayout w:type="fixed"/>
        <w:tblCellMar>
          <w:top w:w="0" w:type="dxa"/>
          <w:left w:w="108" w:type="dxa"/>
          <w:bottom w:w="0" w:type="dxa"/>
          <w:right w:w="108" w:type="dxa"/>
        </w:tblCellMar>
      </w:tblPr>
      <w:tblGrid>
        <w:gridCol w:w="1726"/>
        <w:gridCol w:w="867"/>
        <w:gridCol w:w="735"/>
        <w:gridCol w:w="1184"/>
        <w:gridCol w:w="636"/>
        <w:gridCol w:w="911"/>
        <w:gridCol w:w="241"/>
        <w:gridCol w:w="1276"/>
        <w:gridCol w:w="1477"/>
      </w:tblGrid>
      <w:tr w14:paraId="5FDEAFED">
        <w:tblPrEx>
          <w:tblCellMar>
            <w:top w:w="0" w:type="dxa"/>
            <w:left w:w="108" w:type="dxa"/>
            <w:bottom w:w="0" w:type="dxa"/>
            <w:right w:w="108" w:type="dxa"/>
          </w:tblCellMar>
        </w:tblPrEx>
        <w:trPr>
          <w:trHeight w:val="803" w:hRule="atLeast"/>
        </w:trPr>
        <w:tc>
          <w:tcPr>
            <w:tcW w:w="9053" w:type="dxa"/>
            <w:gridSpan w:val="9"/>
            <w:tcBorders>
              <w:top w:val="nil"/>
              <w:left w:val="nil"/>
              <w:bottom w:val="nil"/>
              <w:right w:val="nil"/>
            </w:tcBorders>
            <w:shd w:val="clear" w:color="auto" w:fill="auto"/>
            <w:vAlign w:val="center"/>
          </w:tcPr>
          <w:p w14:paraId="577DB93B">
            <w:pPr>
              <w:jc w:val="center"/>
              <w:textAlignment w:val="center"/>
              <w:rPr>
                <w:rFonts w:ascii="宋体" w:hAnsi="宋体" w:cs="宋体"/>
                <w:b/>
                <w:bCs/>
                <w:color w:val="000000"/>
                <w:sz w:val="28"/>
                <w:szCs w:val="28"/>
              </w:rPr>
            </w:pPr>
            <w:r>
              <w:rPr>
                <w:rFonts w:hint="eastAsia" w:ascii="宋体" w:hAnsi="宋体" w:cs="宋体"/>
                <w:b/>
                <w:bCs/>
                <w:snapToGrid w:val="0"/>
                <w:color w:val="000000"/>
                <w:sz w:val="28"/>
                <w:szCs w:val="28"/>
                <w:lang w:bidi="ar"/>
              </w:rPr>
              <w:t>监理试验室主要人员服务费报价明细表</w:t>
            </w:r>
          </w:p>
        </w:tc>
      </w:tr>
      <w:tr w14:paraId="245AB24E">
        <w:tblPrEx>
          <w:tblCellMar>
            <w:top w:w="0" w:type="dxa"/>
            <w:left w:w="108" w:type="dxa"/>
            <w:bottom w:w="0" w:type="dxa"/>
            <w:right w:w="108" w:type="dxa"/>
          </w:tblCellMar>
        </w:tblPrEx>
        <w:trPr>
          <w:trHeight w:val="398" w:hRule="atLeast"/>
        </w:trPr>
        <w:tc>
          <w:tcPr>
            <w:tcW w:w="2593" w:type="dxa"/>
            <w:gridSpan w:val="2"/>
            <w:tcBorders>
              <w:top w:val="nil"/>
              <w:left w:val="nil"/>
              <w:bottom w:val="single" w:color="000000" w:sz="4" w:space="0"/>
              <w:right w:val="nil"/>
            </w:tcBorders>
            <w:shd w:val="clear" w:color="auto" w:fill="auto"/>
            <w:vAlign w:val="center"/>
          </w:tcPr>
          <w:p w14:paraId="6B68A880">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 xml:space="preserve">  标段：XQSY</w:t>
            </w:r>
          </w:p>
        </w:tc>
        <w:tc>
          <w:tcPr>
            <w:tcW w:w="735" w:type="dxa"/>
            <w:tcBorders>
              <w:top w:val="nil"/>
              <w:left w:val="nil"/>
              <w:bottom w:val="nil"/>
              <w:right w:val="nil"/>
            </w:tcBorders>
            <w:shd w:val="clear" w:color="auto" w:fill="auto"/>
            <w:vAlign w:val="center"/>
          </w:tcPr>
          <w:p w14:paraId="53FEA0E2">
            <w:pPr>
              <w:jc w:val="center"/>
              <w:rPr>
                <w:rFonts w:ascii="宋体" w:hAnsi="宋体" w:cs="宋体"/>
                <w:color w:val="000000"/>
                <w:sz w:val="20"/>
                <w:szCs w:val="20"/>
              </w:rPr>
            </w:pPr>
          </w:p>
        </w:tc>
        <w:tc>
          <w:tcPr>
            <w:tcW w:w="1184" w:type="dxa"/>
            <w:tcBorders>
              <w:top w:val="nil"/>
              <w:left w:val="nil"/>
              <w:bottom w:val="nil"/>
              <w:right w:val="nil"/>
            </w:tcBorders>
            <w:shd w:val="clear" w:color="auto" w:fill="auto"/>
            <w:vAlign w:val="center"/>
          </w:tcPr>
          <w:p w14:paraId="342F9289">
            <w:pPr>
              <w:jc w:val="center"/>
              <w:rPr>
                <w:rFonts w:ascii="宋体" w:hAnsi="宋体" w:cs="宋体"/>
                <w:color w:val="000000"/>
                <w:sz w:val="20"/>
                <w:szCs w:val="20"/>
              </w:rPr>
            </w:pPr>
          </w:p>
        </w:tc>
        <w:tc>
          <w:tcPr>
            <w:tcW w:w="636" w:type="dxa"/>
            <w:tcBorders>
              <w:top w:val="nil"/>
              <w:left w:val="nil"/>
              <w:bottom w:val="nil"/>
              <w:right w:val="nil"/>
            </w:tcBorders>
            <w:shd w:val="clear" w:color="auto" w:fill="auto"/>
            <w:vAlign w:val="center"/>
          </w:tcPr>
          <w:p w14:paraId="26B40860">
            <w:pPr>
              <w:jc w:val="center"/>
              <w:rPr>
                <w:rFonts w:ascii="宋体" w:hAnsi="宋体" w:cs="宋体"/>
                <w:color w:val="000000"/>
                <w:sz w:val="20"/>
                <w:szCs w:val="20"/>
              </w:rPr>
            </w:pPr>
          </w:p>
        </w:tc>
        <w:tc>
          <w:tcPr>
            <w:tcW w:w="911" w:type="dxa"/>
            <w:tcBorders>
              <w:top w:val="nil"/>
              <w:left w:val="nil"/>
              <w:bottom w:val="nil"/>
              <w:right w:val="nil"/>
            </w:tcBorders>
            <w:shd w:val="clear" w:color="auto" w:fill="auto"/>
            <w:vAlign w:val="center"/>
          </w:tcPr>
          <w:p w14:paraId="6CF144DC">
            <w:pPr>
              <w:jc w:val="center"/>
              <w:rPr>
                <w:rFonts w:ascii="宋体" w:hAnsi="宋体" w:cs="宋体"/>
                <w:color w:val="000000"/>
                <w:sz w:val="20"/>
                <w:szCs w:val="20"/>
              </w:rPr>
            </w:pPr>
          </w:p>
        </w:tc>
        <w:tc>
          <w:tcPr>
            <w:tcW w:w="241" w:type="dxa"/>
            <w:tcBorders>
              <w:top w:val="nil"/>
              <w:left w:val="nil"/>
              <w:bottom w:val="nil"/>
              <w:right w:val="nil"/>
            </w:tcBorders>
            <w:shd w:val="clear" w:color="auto" w:fill="auto"/>
            <w:vAlign w:val="center"/>
          </w:tcPr>
          <w:p w14:paraId="2D6E6209">
            <w:pPr>
              <w:rPr>
                <w:rFonts w:ascii="宋体" w:hAnsi="宋体" w:cs="宋体"/>
                <w:color w:val="000000"/>
                <w:sz w:val="20"/>
                <w:szCs w:val="20"/>
              </w:rPr>
            </w:pPr>
          </w:p>
        </w:tc>
        <w:tc>
          <w:tcPr>
            <w:tcW w:w="1276" w:type="dxa"/>
            <w:tcBorders>
              <w:top w:val="nil"/>
              <w:left w:val="nil"/>
              <w:bottom w:val="nil"/>
              <w:right w:val="nil"/>
            </w:tcBorders>
            <w:shd w:val="clear" w:color="auto" w:fill="auto"/>
            <w:vAlign w:val="center"/>
          </w:tcPr>
          <w:p w14:paraId="6EA4B21B">
            <w:pPr>
              <w:rPr>
                <w:rFonts w:ascii="宋体" w:hAnsi="宋体" w:cs="宋体"/>
                <w:color w:val="000000"/>
                <w:sz w:val="20"/>
                <w:szCs w:val="20"/>
              </w:rPr>
            </w:pPr>
          </w:p>
        </w:tc>
        <w:tc>
          <w:tcPr>
            <w:tcW w:w="1477" w:type="dxa"/>
            <w:tcBorders>
              <w:top w:val="nil"/>
              <w:left w:val="nil"/>
              <w:bottom w:val="nil"/>
              <w:right w:val="nil"/>
            </w:tcBorders>
            <w:shd w:val="clear" w:color="auto" w:fill="auto"/>
            <w:vAlign w:val="center"/>
          </w:tcPr>
          <w:p w14:paraId="6B3723F7">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 xml:space="preserve">    表2</w:t>
            </w:r>
          </w:p>
        </w:tc>
      </w:tr>
      <w:tr w14:paraId="0D537985">
        <w:tblPrEx>
          <w:tblCellMar>
            <w:top w:w="0" w:type="dxa"/>
            <w:left w:w="108" w:type="dxa"/>
            <w:bottom w:w="0" w:type="dxa"/>
            <w:right w:w="108" w:type="dxa"/>
          </w:tblCellMar>
        </w:tblPrEx>
        <w:trPr>
          <w:trHeight w:val="600" w:hRule="atLeast"/>
        </w:trPr>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A9143">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人员名称</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ABCAE">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人数</w:t>
            </w:r>
          </w:p>
        </w:tc>
        <w:tc>
          <w:tcPr>
            <w:tcW w:w="37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41896B">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服务时间（人•月）</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16BFC">
            <w:pPr>
              <w:jc w:val="center"/>
              <w:textAlignment w:val="center"/>
              <w:rPr>
                <w:rFonts w:ascii="宋体" w:hAnsi="宋体" w:cs="宋体"/>
                <w:snapToGrid w:val="0"/>
                <w:color w:val="000000"/>
                <w:sz w:val="20"/>
                <w:szCs w:val="20"/>
                <w:lang w:bidi="ar"/>
              </w:rPr>
            </w:pPr>
          </w:p>
          <w:p w14:paraId="281CE59A">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工资</w:t>
            </w:r>
          </w:p>
          <w:p w14:paraId="7D62C589">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0E1E3">
            <w:pPr>
              <w:jc w:val="center"/>
              <w:textAlignment w:val="center"/>
              <w:rPr>
                <w:rFonts w:ascii="宋体" w:hAnsi="宋体" w:cs="宋体"/>
                <w:snapToGrid w:val="0"/>
                <w:color w:val="000000"/>
                <w:sz w:val="20"/>
                <w:szCs w:val="20"/>
                <w:lang w:bidi="ar"/>
              </w:rPr>
            </w:pPr>
          </w:p>
          <w:p w14:paraId="0C71D9D4">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合计         （元）</w:t>
            </w:r>
          </w:p>
        </w:tc>
      </w:tr>
      <w:tr w14:paraId="2B8E8CA6">
        <w:tblPrEx>
          <w:tblCellMar>
            <w:top w:w="0" w:type="dxa"/>
            <w:left w:w="108" w:type="dxa"/>
            <w:bottom w:w="0" w:type="dxa"/>
            <w:right w:w="108" w:type="dxa"/>
          </w:tblCellMar>
        </w:tblPrEx>
        <w:trPr>
          <w:trHeight w:val="600" w:hRule="atLeast"/>
        </w:trPr>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2E8CA">
            <w:pPr>
              <w:jc w:val="center"/>
              <w:rPr>
                <w:rFonts w:ascii="宋体" w:hAnsi="宋体" w:cs="宋体"/>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7C595">
            <w:pPr>
              <w:jc w:val="center"/>
              <w:rPr>
                <w:rFonts w:ascii="宋体" w:hAnsi="宋体" w:cs="宋体"/>
                <w:color w:val="000000"/>
                <w:sz w:val="20"/>
                <w:szCs w:val="20"/>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22A91">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服务期</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43685D">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合计</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4EA41">
            <w:pPr>
              <w:jc w:val="center"/>
              <w:rPr>
                <w:rFonts w:ascii="宋体" w:hAnsi="宋体" w:cs="宋体"/>
                <w:color w:val="000000"/>
                <w:sz w:val="20"/>
                <w:szCs w:val="20"/>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6E7DF">
            <w:pPr>
              <w:jc w:val="center"/>
              <w:rPr>
                <w:rFonts w:ascii="宋体" w:hAnsi="宋体" w:cs="宋体"/>
                <w:color w:val="000000"/>
                <w:sz w:val="20"/>
                <w:szCs w:val="20"/>
              </w:rPr>
            </w:pPr>
          </w:p>
        </w:tc>
      </w:tr>
      <w:tr w14:paraId="055A3563">
        <w:tblPrEx>
          <w:tblCellMar>
            <w:top w:w="0" w:type="dxa"/>
            <w:left w:w="108" w:type="dxa"/>
            <w:bottom w:w="0" w:type="dxa"/>
            <w:right w:w="108" w:type="dxa"/>
          </w:tblCellMar>
        </w:tblPrEx>
        <w:trPr>
          <w:trHeight w:val="6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85DD">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试验室主任</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A5CF">
            <w:pPr>
              <w:jc w:val="center"/>
              <w:textAlignment w:val="center"/>
              <w:rPr>
                <w:rFonts w:ascii="宋体" w:hAnsi="宋体" w:cs="宋体"/>
                <w:color w:val="000000"/>
                <w:sz w:val="21"/>
                <w:szCs w:val="21"/>
              </w:rPr>
            </w:pPr>
            <w:r>
              <w:rPr>
                <w:rFonts w:hint="eastAsia" w:ascii="宋体" w:hAnsi="宋体" w:cs="宋体"/>
                <w:snapToGrid w:val="0"/>
                <w:color w:val="000000"/>
                <w:sz w:val="20"/>
                <w:szCs w:val="20"/>
                <w:lang w:bidi="ar"/>
              </w:rPr>
              <w:t>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3CE3A">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1×3</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0F851">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4CF5">
            <w:pPr>
              <w:jc w:val="center"/>
              <w:textAlignment w:val="center"/>
              <w:rPr>
                <w:rFonts w:ascii="宋体" w:hAnsi="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05EE">
            <w:pPr>
              <w:jc w:val="center"/>
              <w:textAlignment w:val="center"/>
              <w:rPr>
                <w:rFonts w:ascii="宋体" w:hAnsi="宋体" w:cs="宋体"/>
                <w:color w:val="000000"/>
                <w:sz w:val="20"/>
                <w:szCs w:val="20"/>
              </w:rPr>
            </w:pPr>
          </w:p>
        </w:tc>
      </w:tr>
      <w:tr w14:paraId="48327107">
        <w:tblPrEx>
          <w:tblCellMar>
            <w:top w:w="0" w:type="dxa"/>
            <w:left w:w="108" w:type="dxa"/>
            <w:bottom w:w="0" w:type="dxa"/>
            <w:right w:w="108" w:type="dxa"/>
          </w:tblCellMar>
        </w:tblPrEx>
        <w:trPr>
          <w:trHeight w:val="6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BA2C">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试验室技术负责人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B0CC">
            <w:pPr>
              <w:jc w:val="center"/>
              <w:textAlignment w:val="center"/>
              <w:rPr>
                <w:rFonts w:ascii="宋体" w:hAnsi="宋体" w:cs="宋体"/>
                <w:color w:val="000000"/>
                <w:sz w:val="21"/>
                <w:szCs w:val="21"/>
              </w:rPr>
            </w:pPr>
            <w:r>
              <w:rPr>
                <w:rFonts w:hint="eastAsia" w:ascii="宋体" w:hAnsi="宋体" w:cs="宋体"/>
                <w:snapToGrid w:val="0"/>
                <w:color w:val="000000"/>
                <w:sz w:val="20"/>
                <w:szCs w:val="20"/>
                <w:lang w:bidi="ar"/>
              </w:rPr>
              <w:t>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9B9C3">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1×3</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D891C5">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F98B">
            <w:pPr>
              <w:jc w:val="center"/>
              <w:textAlignment w:val="center"/>
              <w:rPr>
                <w:rFonts w:ascii="宋体" w:hAnsi="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9192">
            <w:pPr>
              <w:jc w:val="center"/>
              <w:textAlignment w:val="center"/>
              <w:rPr>
                <w:rFonts w:ascii="宋体" w:hAnsi="宋体" w:cs="宋体"/>
                <w:color w:val="000000"/>
                <w:sz w:val="20"/>
                <w:szCs w:val="20"/>
              </w:rPr>
            </w:pPr>
          </w:p>
        </w:tc>
      </w:tr>
      <w:tr w14:paraId="451A4B02">
        <w:tblPrEx>
          <w:tblCellMar>
            <w:top w:w="0" w:type="dxa"/>
            <w:left w:w="108" w:type="dxa"/>
            <w:bottom w:w="0" w:type="dxa"/>
            <w:right w:w="108" w:type="dxa"/>
          </w:tblCellMar>
        </w:tblPrEx>
        <w:trPr>
          <w:trHeight w:val="6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075C">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试验检测工程师</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C5A1">
            <w:pPr>
              <w:jc w:val="center"/>
              <w:textAlignment w:val="center"/>
              <w:rPr>
                <w:rFonts w:ascii="宋体" w:hAnsi="宋体" w:cs="宋体"/>
                <w:color w:val="000000"/>
                <w:sz w:val="21"/>
                <w:szCs w:val="21"/>
              </w:rPr>
            </w:pPr>
            <w:r>
              <w:rPr>
                <w:rFonts w:hint="eastAsia" w:ascii="宋体" w:hAnsi="宋体" w:cs="宋体"/>
                <w:snapToGrid w:val="0"/>
                <w:color w:val="000000"/>
                <w:sz w:val="20"/>
                <w:szCs w:val="20"/>
                <w:lang w:bidi="ar"/>
              </w:rPr>
              <w:t>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EE697">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1×3</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1547B">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895">
            <w:pPr>
              <w:jc w:val="center"/>
              <w:textAlignment w:val="center"/>
              <w:rPr>
                <w:rFonts w:ascii="宋体" w:hAnsi="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BB48">
            <w:pPr>
              <w:jc w:val="center"/>
              <w:textAlignment w:val="center"/>
              <w:rPr>
                <w:rFonts w:ascii="宋体" w:hAnsi="宋体" w:cs="宋体"/>
                <w:color w:val="000000"/>
                <w:sz w:val="20"/>
                <w:szCs w:val="20"/>
              </w:rPr>
            </w:pPr>
          </w:p>
        </w:tc>
      </w:tr>
      <w:tr w14:paraId="2489B74D">
        <w:tblPrEx>
          <w:tblCellMar>
            <w:top w:w="0" w:type="dxa"/>
            <w:left w:w="108" w:type="dxa"/>
            <w:bottom w:w="0" w:type="dxa"/>
            <w:right w:w="108" w:type="dxa"/>
          </w:tblCellMar>
        </w:tblPrEx>
        <w:trPr>
          <w:trHeight w:val="6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2AE7">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合计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F84D">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3</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62761">
            <w:pPr>
              <w:jc w:val="center"/>
              <w:rPr>
                <w:rFonts w:ascii="宋体" w:hAnsi="宋体" w:cs="宋体"/>
                <w:b/>
                <w:bCs/>
                <w:color w:val="000000"/>
                <w:sz w:val="20"/>
                <w:szCs w:val="20"/>
              </w:rPr>
            </w:pP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24698">
            <w:pPr>
              <w:jc w:val="center"/>
              <w:textAlignment w:val="center"/>
              <w:rPr>
                <w:rFonts w:ascii="宋体" w:hAnsi="宋体" w:cs="宋体"/>
                <w:b/>
                <w:bCs/>
                <w:color w:val="000000"/>
                <w:sz w:val="20"/>
                <w:szCs w:val="20"/>
              </w:rPr>
            </w:pPr>
            <w:r>
              <w:rPr>
                <w:rFonts w:hint="eastAsia" w:ascii="宋体" w:hAnsi="宋体" w:cs="宋体"/>
                <w:b/>
                <w:bCs/>
                <w:color w:val="000000"/>
                <w:sz w:val="20"/>
                <w:szCs w:val="20"/>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8A80">
            <w:pPr>
              <w:jc w:val="center"/>
              <w:rPr>
                <w:rFonts w:ascii="宋体" w:hAnsi="宋体" w:cs="宋体"/>
                <w:b/>
                <w:bCs/>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4794">
            <w:pPr>
              <w:jc w:val="center"/>
              <w:textAlignment w:val="center"/>
              <w:rPr>
                <w:rFonts w:ascii="宋体" w:hAnsi="宋体" w:cs="宋体"/>
                <w:b/>
                <w:bCs/>
                <w:color w:val="000000"/>
                <w:sz w:val="20"/>
                <w:szCs w:val="20"/>
              </w:rPr>
            </w:pPr>
          </w:p>
        </w:tc>
      </w:tr>
    </w:tbl>
    <w:p w14:paraId="7AB9D342">
      <w:pPr>
        <w:pStyle w:val="2"/>
        <w:ind w:left="480" w:firstLine="560"/>
      </w:pPr>
    </w:p>
    <w:p w14:paraId="4F954EC3">
      <w:pPr>
        <w:pStyle w:val="2"/>
        <w:ind w:left="480" w:firstLine="560"/>
      </w:pPr>
    </w:p>
    <w:p w14:paraId="487A8DBE">
      <w:pPr>
        <w:pStyle w:val="2"/>
        <w:ind w:left="0" w:leftChars="0" w:firstLine="0" w:firstLineChars="0"/>
        <w:jc w:val="center"/>
        <w:rPr>
          <w:rFonts w:hAnsi="宋体" w:cs="宋体"/>
          <w:snapToGrid w:val="0"/>
          <w:color w:val="000000"/>
          <w:sz w:val="20"/>
          <w:lang w:bidi="ar"/>
        </w:rPr>
      </w:pPr>
      <w:r>
        <w:rPr>
          <w:rFonts w:hint="eastAsia" w:hAnsi="宋体" w:cs="宋体"/>
          <w:b/>
          <w:bCs/>
          <w:snapToGrid w:val="0"/>
          <w:color w:val="000000"/>
          <w:szCs w:val="28"/>
          <w:lang w:bidi="ar"/>
        </w:rPr>
        <w:t>监理试验室办公设施、生活设施、汽车服务费报价明细表</w:t>
      </w:r>
    </w:p>
    <w:p w14:paraId="0BCCAD7C">
      <w:pPr>
        <w:pStyle w:val="2"/>
        <w:ind w:left="0" w:leftChars="0" w:firstLine="0" w:firstLineChars="0"/>
        <w:rPr>
          <w:rFonts w:hAnsi="宋体" w:cs="宋体"/>
          <w:position w:val="1"/>
          <w:sz w:val="24"/>
          <w:szCs w:val="24"/>
          <w14:textOutline w14:w="5105" w14:cap="sq" w14:cmpd="sng" w14:algn="ctr">
            <w14:solidFill>
              <w14:srgbClr w14:val="000000"/>
            </w14:solidFill>
            <w14:prstDash w14:val="solid"/>
            <w14:bevel/>
          </w14:textOutline>
        </w:rPr>
      </w:pPr>
      <w:r>
        <w:rPr>
          <w:rFonts w:hint="eastAsia" w:hAnsi="宋体" w:cs="宋体"/>
          <w:snapToGrid w:val="0"/>
          <w:color w:val="000000"/>
          <w:sz w:val="20"/>
          <w:lang w:bidi="ar"/>
        </w:rPr>
        <w:t>标段：XQSY</w:t>
      </w:r>
    </w:p>
    <w:tbl>
      <w:tblPr>
        <w:tblStyle w:val="18"/>
        <w:tblW w:w="4997" w:type="pct"/>
        <w:tblInd w:w="0" w:type="dxa"/>
        <w:tblLayout w:type="fixed"/>
        <w:tblCellMar>
          <w:top w:w="0" w:type="dxa"/>
          <w:left w:w="108" w:type="dxa"/>
          <w:bottom w:w="0" w:type="dxa"/>
          <w:right w:w="108" w:type="dxa"/>
        </w:tblCellMar>
      </w:tblPr>
      <w:tblGrid>
        <w:gridCol w:w="1196"/>
        <w:gridCol w:w="1498"/>
        <w:gridCol w:w="1259"/>
        <w:gridCol w:w="1460"/>
        <w:gridCol w:w="1214"/>
        <w:gridCol w:w="998"/>
        <w:gridCol w:w="1423"/>
      </w:tblGrid>
      <w:tr w14:paraId="3618FF50">
        <w:tblPrEx>
          <w:tblCellMar>
            <w:top w:w="0" w:type="dxa"/>
            <w:left w:w="108" w:type="dxa"/>
            <w:bottom w:w="0" w:type="dxa"/>
            <w:right w:w="108" w:type="dxa"/>
          </w:tblCellMar>
        </w:tblPrEx>
        <w:trPr>
          <w:trHeight w:val="600" w:hRule="atLeast"/>
        </w:trPr>
        <w:tc>
          <w:tcPr>
            <w:tcW w:w="1196" w:type="dxa"/>
            <w:vMerge w:val="restart"/>
            <w:tcBorders>
              <w:top w:val="single" w:color="000000" w:sz="4" w:space="0"/>
              <w:left w:val="single" w:color="000000" w:sz="4" w:space="0"/>
              <w:right w:val="single" w:color="000000" w:sz="4" w:space="0"/>
            </w:tcBorders>
            <w:shd w:val="clear" w:color="auto" w:fill="auto"/>
            <w:vAlign w:val="center"/>
          </w:tcPr>
          <w:p w14:paraId="5BB61B96">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序号</w:t>
            </w:r>
          </w:p>
        </w:tc>
        <w:tc>
          <w:tcPr>
            <w:tcW w:w="1498" w:type="dxa"/>
            <w:vMerge w:val="restart"/>
            <w:tcBorders>
              <w:top w:val="single" w:color="000000" w:sz="4" w:space="0"/>
              <w:left w:val="single" w:color="000000" w:sz="4" w:space="0"/>
              <w:right w:val="single" w:color="000000" w:sz="4" w:space="0"/>
            </w:tcBorders>
            <w:shd w:val="clear" w:color="auto" w:fill="auto"/>
            <w:vAlign w:val="center"/>
          </w:tcPr>
          <w:p w14:paraId="6B69BAD6">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费用明细</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02CC0">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服务时间（月）</w:t>
            </w:r>
          </w:p>
        </w:tc>
        <w:tc>
          <w:tcPr>
            <w:tcW w:w="1214" w:type="dxa"/>
            <w:vMerge w:val="restart"/>
            <w:tcBorders>
              <w:top w:val="single" w:color="000000" w:sz="4" w:space="0"/>
              <w:left w:val="single" w:color="000000" w:sz="4" w:space="0"/>
              <w:right w:val="single" w:color="000000" w:sz="4" w:space="0"/>
            </w:tcBorders>
            <w:shd w:val="clear" w:color="auto" w:fill="auto"/>
            <w:vAlign w:val="center"/>
          </w:tcPr>
          <w:p w14:paraId="1E00F578">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单价</w:t>
            </w:r>
          </w:p>
          <w:p w14:paraId="2D2A073D">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（元/月）</w:t>
            </w:r>
          </w:p>
        </w:tc>
        <w:tc>
          <w:tcPr>
            <w:tcW w:w="998" w:type="dxa"/>
            <w:vMerge w:val="restart"/>
            <w:tcBorders>
              <w:top w:val="single" w:color="000000" w:sz="4" w:space="0"/>
              <w:left w:val="single" w:color="000000" w:sz="4" w:space="0"/>
              <w:right w:val="single" w:color="000000" w:sz="4" w:space="0"/>
            </w:tcBorders>
            <w:shd w:val="clear" w:color="auto" w:fill="auto"/>
            <w:vAlign w:val="center"/>
          </w:tcPr>
          <w:p w14:paraId="06686C06">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合价</w:t>
            </w:r>
          </w:p>
          <w:p w14:paraId="355C16BC">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（元）</w:t>
            </w:r>
          </w:p>
        </w:tc>
        <w:tc>
          <w:tcPr>
            <w:tcW w:w="1423" w:type="dxa"/>
            <w:vMerge w:val="restart"/>
            <w:tcBorders>
              <w:top w:val="single" w:color="000000" w:sz="4" w:space="0"/>
              <w:left w:val="single" w:color="000000" w:sz="4" w:space="0"/>
              <w:right w:val="single" w:color="000000" w:sz="4" w:space="0"/>
            </w:tcBorders>
            <w:shd w:val="clear" w:color="auto" w:fill="auto"/>
            <w:vAlign w:val="center"/>
          </w:tcPr>
          <w:p w14:paraId="06669593">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备注</w:t>
            </w:r>
          </w:p>
        </w:tc>
      </w:tr>
      <w:tr w14:paraId="78372578">
        <w:tblPrEx>
          <w:tblCellMar>
            <w:top w:w="0" w:type="dxa"/>
            <w:left w:w="108" w:type="dxa"/>
            <w:bottom w:w="0" w:type="dxa"/>
            <w:right w:w="108" w:type="dxa"/>
          </w:tblCellMar>
        </w:tblPrEx>
        <w:trPr>
          <w:trHeight w:val="600" w:hRule="atLeast"/>
        </w:trPr>
        <w:tc>
          <w:tcPr>
            <w:tcW w:w="1196" w:type="dxa"/>
            <w:vMerge w:val="continue"/>
            <w:tcBorders>
              <w:left w:val="single" w:color="000000" w:sz="4" w:space="0"/>
              <w:bottom w:val="single" w:color="000000" w:sz="4" w:space="0"/>
              <w:right w:val="single" w:color="000000" w:sz="4" w:space="0"/>
            </w:tcBorders>
            <w:shd w:val="clear" w:color="auto" w:fill="auto"/>
            <w:vAlign w:val="center"/>
          </w:tcPr>
          <w:p w14:paraId="1B1894A6">
            <w:pPr>
              <w:jc w:val="center"/>
              <w:rPr>
                <w:rFonts w:ascii="宋体" w:hAnsi="宋体" w:cs="宋体"/>
                <w:color w:val="000000"/>
                <w:sz w:val="20"/>
                <w:szCs w:val="20"/>
              </w:rPr>
            </w:pPr>
          </w:p>
        </w:tc>
        <w:tc>
          <w:tcPr>
            <w:tcW w:w="1498" w:type="dxa"/>
            <w:vMerge w:val="continue"/>
            <w:tcBorders>
              <w:left w:val="single" w:color="000000" w:sz="4" w:space="0"/>
              <w:bottom w:val="single" w:color="000000" w:sz="4" w:space="0"/>
              <w:right w:val="single" w:color="000000" w:sz="4" w:space="0"/>
            </w:tcBorders>
            <w:shd w:val="clear" w:color="auto" w:fill="auto"/>
            <w:vAlign w:val="center"/>
          </w:tcPr>
          <w:p w14:paraId="4B9B4516">
            <w:pPr>
              <w:jc w:val="center"/>
              <w:rPr>
                <w:rFonts w:ascii="宋体" w:hAnsi="宋体" w:cs="宋体"/>
                <w:color w:val="000000"/>
                <w:sz w:val="20"/>
                <w:szCs w:val="20"/>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BA0A">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服务期</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A3CB">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合计</w:t>
            </w:r>
          </w:p>
        </w:tc>
        <w:tc>
          <w:tcPr>
            <w:tcW w:w="1214" w:type="dxa"/>
            <w:vMerge w:val="continue"/>
            <w:tcBorders>
              <w:left w:val="single" w:color="000000" w:sz="4" w:space="0"/>
              <w:bottom w:val="single" w:color="000000" w:sz="4" w:space="0"/>
              <w:right w:val="single" w:color="000000" w:sz="4" w:space="0"/>
            </w:tcBorders>
            <w:shd w:val="clear" w:color="auto" w:fill="auto"/>
            <w:vAlign w:val="center"/>
          </w:tcPr>
          <w:p w14:paraId="1C5CFCA8">
            <w:pPr>
              <w:jc w:val="center"/>
              <w:rPr>
                <w:rFonts w:ascii="宋体" w:hAnsi="宋体" w:cs="宋体"/>
                <w:color w:val="000000"/>
                <w:sz w:val="20"/>
                <w:szCs w:val="20"/>
              </w:rPr>
            </w:pPr>
          </w:p>
        </w:tc>
        <w:tc>
          <w:tcPr>
            <w:tcW w:w="998" w:type="dxa"/>
            <w:vMerge w:val="continue"/>
            <w:tcBorders>
              <w:left w:val="single" w:color="000000" w:sz="4" w:space="0"/>
              <w:bottom w:val="single" w:color="000000" w:sz="4" w:space="0"/>
              <w:right w:val="single" w:color="000000" w:sz="4" w:space="0"/>
            </w:tcBorders>
            <w:shd w:val="clear" w:color="auto" w:fill="auto"/>
            <w:vAlign w:val="center"/>
          </w:tcPr>
          <w:p w14:paraId="3AE2C794">
            <w:pPr>
              <w:jc w:val="center"/>
              <w:rPr>
                <w:rFonts w:ascii="宋体" w:hAnsi="宋体" w:cs="宋体"/>
                <w:color w:val="000000"/>
                <w:sz w:val="20"/>
                <w:szCs w:val="20"/>
              </w:rPr>
            </w:pPr>
          </w:p>
        </w:tc>
        <w:tc>
          <w:tcPr>
            <w:tcW w:w="1423" w:type="dxa"/>
            <w:vMerge w:val="continue"/>
            <w:tcBorders>
              <w:left w:val="single" w:color="000000" w:sz="4" w:space="0"/>
              <w:bottom w:val="single" w:color="000000" w:sz="4" w:space="0"/>
              <w:right w:val="single" w:color="000000" w:sz="4" w:space="0"/>
            </w:tcBorders>
            <w:shd w:val="clear" w:color="auto" w:fill="auto"/>
            <w:vAlign w:val="center"/>
          </w:tcPr>
          <w:p w14:paraId="3AC893B9">
            <w:pPr>
              <w:jc w:val="center"/>
              <w:rPr>
                <w:rFonts w:ascii="宋体" w:hAnsi="宋体" w:cs="宋体"/>
                <w:color w:val="000000"/>
                <w:sz w:val="20"/>
                <w:szCs w:val="20"/>
              </w:rPr>
            </w:pPr>
          </w:p>
        </w:tc>
      </w:tr>
      <w:tr w14:paraId="358B8016">
        <w:tblPrEx>
          <w:tblCellMar>
            <w:top w:w="0" w:type="dxa"/>
            <w:left w:w="108" w:type="dxa"/>
            <w:bottom w:w="0" w:type="dxa"/>
            <w:right w:w="108" w:type="dxa"/>
          </w:tblCellMar>
        </w:tblPrEx>
        <w:trPr>
          <w:trHeight w:val="600"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7365">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FBE7">
            <w:pPr>
              <w:jc w:val="center"/>
              <w:textAlignment w:val="center"/>
              <w:rPr>
                <w:rFonts w:ascii="宋体" w:hAnsi="宋体" w:cs="宋体"/>
                <w:color w:val="000000"/>
                <w:sz w:val="21"/>
                <w:szCs w:val="21"/>
              </w:rPr>
            </w:pPr>
            <w:r>
              <w:rPr>
                <w:rFonts w:hint="eastAsia" w:ascii="宋体" w:hAnsi="宋体" w:cs="宋体"/>
                <w:snapToGrid w:val="0"/>
                <w:color w:val="000000"/>
                <w:sz w:val="20"/>
                <w:szCs w:val="20"/>
                <w:lang w:bidi="ar"/>
              </w:rPr>
              <w:t>监理试验室办公设施费</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38BE">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388F">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C39A">
            <w:pPr>
              <w:jc w:val="center"/>
              <w:textAlignment w:val="center"/>
              <w:rPr>
                <w:rFonts w:ascii="宋体" w:hAnsi="宋体" w:cs="宋体"/>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F807">
            <w:pPr>
              <w:jc w:val="center"/>
              <w:textAlignment w:val="center"/>
              <w:rPr>
                <w:rFonts w:ascii="宋体" w:hAnsi="宋体" w:cs="宋体"/>
                <w:color w:val="00000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8DEE">
            <w:pPr>
              <w:jc w:val="center"/>
              <w:textAlignment w:val="center"/>
              <w:rPr>
                <w:rFonts w:ascii="宋体" w:hAnsi="宋体" w:cs="宋体"/>
                <w:color w:val="000000"/>
                <w:sz w:val="20"/>
                <w:szCs w:val="20"/>
              </w:rPr>
            </w:pPr>
          </w:p>
        </w:tc>
      </w:tr>
      <w:tr w14:paraId="15E984AD">
        <w:tblPrEx>
          <w:tblCellMar>
            <w:top w:w="0" w:type="dxa"/>
            <w:left w:w="108" w:type="dxa"/>
            <w:bottom w:w="0" w:type="dxa"/>
            <w:right w:w="108" w:type="dxa"/>
          </w:tblCellMar>
        </w:tblPrEx>
        <w:trPr>
          <w:trHeight w:val="600"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614E">
            <w:pPr>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4AFE">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监理试验室生活设施费</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4902">
            <w:pPr>
              <w:jc w:val="center"/>
              <w:textAlignment w:val="center"/>
              <w:rPr>
                <w:rFonts w:ascii="宋体" w:hAnsi="宋体" w:cs="宋体"/>
                <w:snapToGrid w:val="0"/>
                <w:color w:val="000000"/>
                <w:sz w:val="21"/>
                <w:szCs w:val="21"/>
                <w:lang w:bidi="ar"/>
              </w:rPr>
            </w:pPr>
            <w:r>
              <w:rPr>
                <w:rFonts w:hint="eastAsia" w:ascii="宋体" w:hAnsi="宋体" w:cs="宋体"/>
                <w:snapToGrid w:val="0"/>
                <w:color w:val="000000"/>
                <w:sz w:val="21"/>
                <w:szCs w:val="21"/>
                <w:lang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7950">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959F">
            <w:pPr>
              <w:jc w:val="center"/>
              <w:textAlignment w:val="center"/>
              <w:rPr>
                <w:rFonts w:ascii="宋体" w:hAnsi="宋体" w:cs="宋体"/>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2ED8">
            <w:pPr>
              <w:jc w:val="center"/>
              <w:textAlignment w:val="center"/>
              <w:rPr>
                <w:rFonts w:ascii="宋体" w:hAnsi="宋体" w:cs="宋体"/>
                <w:color w:val="00000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108E">
            <w:pPr>
              <w:jc w:val="center"/>
              <w:textAlignment w:val="center"/>
              <w:rPr>
                <w:rFonts w:ascii="宋体" w:hAnsi="宋体" w:cs="宋体"/>
                <w:color w:val="000000"/>
                <w:sz w:val="20"/>
                <w:szCs w:val="20"/>
              </w:rPr>
            </w:pPr>
          </w:p>
        </w:tc>
      </w:tr>
      <w:tr w14:paraId="308A5672">
        <w:tblPrEx>
          <w:tblCellMar>
            <w:top w:w="0" w:type="dxa"/>
            <w:left w:w="108" w:type="dxa"/>
            <w:bottom w:w="0" w:type="dxa"/>
            <w:right w:w="108" w:type="dxa"/>
          </w:tblCellMar>
        </w:tblPrEx>
        <w:trPr>
          <w:trHeight w:val="600"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0271">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5B23">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监理试验室汽车费</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7AC3">
            <w:pPr>
              <w:jc w:val="center"/>
              <w:textAlignment w:val="center"/>
              <w:rPr>
                <w:rFonts w:ascii="宋体" w:hAnsi="宋体" w:cs="宋体"/>
                <w:snapToGrid w:val="0"/>
                <w:color w:val="000000"/>
                <w:sz w:val="21"/>
                <w:szCs w:val="21"/>
                <w:lang w:bidi="ar"/>
              </w:rPr>
            </w:pPr>
            <w:r>
              <w:rPr>
                <w:rFonts w:hint="eastAsia" w:ascii="宋体" w:hAnsi="宋体" w:cs="宋体"/>
                <w:snapToGrid w:val="0"/>
                <w:color w:val="000000"/>
                <w:sz w:val="21"/>
                <w:szCs w:val="21"/>
                <w:lang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6093">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DE79">
            <w:pPr>
              <w:jc w:val="center"/>
              <w:textAlignment w:val="center"/>
              <w:rPr>
                <w:rFonts w:ascii="宋体" w:hAnsi="宋体" w:cs="宋体"/>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2DA7">
            <w:pPr>
              <w:jc w:val="center"/>
              <w:textAlignment w:val="center"/>
              <w:rPr>
                <w:rFonts w:ascii="宋体" w:hAnsi="宋体" w:cs="宋体"/>
                <w:color w:val="00000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C491">
            <w:pPr>
              <w:jc w:val="center"/>
              <w:textAlignment w:val="center"/>
              <w:rPr>
                <w:rFonts w:ascii="宋体" w:hAnsi="宋体" w:cs="宋体"/>
                <w:color w:val="000000"/>
                <w:sz w:val="20"/>
                <w:szCs w:val="20"/>
              </w:rPr>
            </w:pPr>
          </w:p>
        </w:tc>
      </w:tr>
    </w:tbl>
    <w:p w14:paraId="6B91D7DD">
      <w:pPr>
        <w:pStyle w:val="2"/>
        <w:ind w:left="480" w:firstLine="560"/>
        <w:sectPr>
          <w:pgSz w:w="11906" w:h="16839"/>
          <w:pgMar w:top="1431" w:right="1528" w:bottom="1362" w:left="1541" w:header="0" w:footer="1202" w:gutter="0"/>
          <w:cols w:space="720" w:num="1"/>
        </w:sectPr>
      </w:pPr>
    </w:p>
    <w:p w14:paraId="68A98F3C">
      <w:pPr>
        <w:pStyle w:val="6"/>
      </w:pPr>
      <w:r>
        <w:t>二、授权委托书或法定代表人身份证明</w:t>
      </w:r>
    </w:p>
    <w:p w14:paraId="2D3DA654">
      <w:pPr>
        <w:spacing w:line="434" w:lineRule="auto"/>
        <w:rPr>
          <w:rFonts w:ascii="Arial"/>
          <w:sz w:val="21"/>
        </w:rPr>
      </w:pPr>
    </w:p>
    <w:p w14:paraId="21197B31">
      <w:pPr>
        <w:pStyle w:val="7"/>
        <w:jc w:val="center"/>
      </w:pPr>
      <w:r>
        <w:rPr>
          <w:rFonts w:hint="eastAsia"/>
        </w:rPr>
        <w:t>（一）</w:t>
      </w:r>
      <w:r>
        <w:t xml:space="preserve"> 授权委托书 </w:t>
      </w:r>
      <w:r>
        <w:rPr>
          <w:rFonts w:hint="eastAsia"/>
        </w:rPr>
        <w:t>（如果有）</w:t>
      </w:r>
    </w:p>
    <w:p w14:paraId="0F0EB517">
      <w:pPr>
        <w:pStyle w:val="26"/>
        <w:ind w:firstLine="480"/>
        <w:rPr>
          <w:rFonts w:hint="default"/>
        </w:rPr>
      </w:pPr>
    </w:p>
    <w:p w14:paraId="0986F953">
      <w:pPr>
        <w:pStyle w:val="26"/>
        <w:ind w:firstLine="480"/>
        <w:rPr>
          <w:rFonts w:hint="default"/>
        </w:rPr>
      </w:pPr>
      <w:r>
        <w:t xml:space="preserve">本人  </w:t>
      </w:r>
      <w:r>
        <w:rPr>
          <w:u w:val="single"/>
        </w:rPr>
        <w:t xml:space="preserve"> 　　　　　　　（姓名）　</w:t>
      </w:r>
      <w:r>
        <w:t>系</w:t>
      </w:r>
      <w:r>
        <w:rPr>
          <w:u w:val="single"/>
        </w:rPr>
        <w:t>　　　　　　　　　　　（比选申请人名称）</w:t>
      </w:r>
      <w:r>
        <w:t>　的法定代表人，现委托</w:t>
      </w:r>
      <w:r>
        <w:rPr>
          <w:u w:val="single"/>
        </w:rPr>
        <w:t>　　　　　　　（姓名）</w:t>
      </w:r>
      <w:r>
        <w:t>　为我方代理人。代理人根据授权，以我方名义签署、澄清、说明、补正、递交、撤回　</w:t>
      </w:r>
      <w:r>
        <w:rPr>
          <w:u w:val="single"/>
        </w:rPr>
        <w:t>　　　　　　　　（项目名称）</w:t>
      </w:r>
      <w:r>
        <w:t>　第　</w:t>
      </w:r>
      <w:r>
        <w:rPr>
          <w:u w:val="single"/>
        </w:rPr>
        <w:t>　　　</w:t>
      </w:r>
      <w:r>
        <w:t>标段比选申请文件、签订合同和处理有关事宜，其法律后果由我方承担。</w:t>
      </w:r>
    </w:p>
    <w:p w14:paraId="57A648EC">
      <w:pPr>
        <w:pStyle w:val="26"/>
        <w:ind w:firstLine="480"/>
        <w:rPr>
          <w:rFonts w:hint="default"/>
        </w:rPr>
      </w:pPr>
      <w:r>
        <w:t>委托期限 ：   本项目比选申请有效期内   。</w:t>
      </w:r>
    </w:p>
    <w:p w14:paraId="71D051AD">
      <w:pPr>
        <w:pStyle w:val="26"/>
        <w:ind w:firstLine="480"/>
        <w:rPr>
          <w:rFonts w:hint="default"/>
        </w:rPr>
      </w:pPr>
      <w:r>
        <w:t>代理人无转委托权。</w:t>
      </w:r>
    </w:p>
    <w:p w14:paraId="2D34D28C">
      <w:pPr>
        <w:pStyle w:val="26"/>
        <w:ind w:firstLine="480"/>
        <w:rPr>
          <w:rFonts w:hint="default"/>
        </w:rPr>
      </w:pPr>
      <w:r>
        <w:t>附：（1）法定代表人和委托代理人身份证 (包括正面、反面) 复印件 (黑白或彩色) 。</w:t>
      </w:r>
    </w:p>
    <w:p w14:paraId="05C9D79A">
      <w:pPr>
        <w:pStyle w:val="26"/>
        <w:ind w:firstLine="480"/>
        <w:rPr>
          <w:rFonts w:hint="default"/>
        </w:rPr>
      </w:pPr>
    </w:p>
    <w:p w14:paraId="18A22D4F">
      <w:pPr>
        <w:pStyle w:val="26"/>
        <w:ind w:firstLine="480"/>
        <w:rPr>
          <w:rFonts w:hint="default"/>
        </w:rPr>
      </w:pPr>
    </w:p>
    <w:p w14:paraId="66AD6882">
      <w:pPr>
        <w:pStyle w:val="26"/>
        <w:ind w:firstLine="480"/>
        <w:rPr>
          <w:rFonts w:hint="default"/>
        </w:rPr>
      </w:pPr>
    </w:p>
    <w:p w14:paraId="15A0C733">
      <w:pPr>
        <w:pStyle w:val="26"/>
        <w:ind w:firstLine="480"/>
        <w:rPr>
          <w:rFonts w:hint="default"/>
        </w:rPr>
      </w:pPr>
    </w:p>
    <w:p w14:paraId="6C10BCC9">
      <w:pPr>
        <w:pStyle w:val="26"/>
        <w:ind w:firstLine="480"/>
        <w:jc w:val="right"/>
        <w:rPr>
          <w:rFonts w:hint="default"/>
        </w:rPr>
      </w:pPr>
      <w:r>
        <w:t>比选申请人：　　　　（全称）　　　（盖单位章）</w:t>
      </w:r>
    </w:p>
    <w:p w14:paraId="1AC1BB9D">
      <w:pPr>
        <w:pStyle w:val="26"/>
        <w:ind w:firstLine="480"/>
        <w:jc w:val="center"/>
        <w:rPr>
          <w:rFonts w:hint="default"/>
        </w:rPr>
      </w:pPr>
      <w:r>
        <w:t xml:space="preserve">                   法定代表人：    　　　　（签字）</w:t>
      </w:r>
    </w:p>
    <w:p w14:paraId="21E5E110">
      <w:pPr>
        <w:pStyle w:val="26"/>
        <w:ind w:firstLine="480"/>
        <w:jc w:val="right"/>
        <w:rPr>
          <w:rFonts w:hint="default"/>
        </w:rPr>
      </w:pPr>
      <w:r>
        <w:t>身份证号码：</w:t>
      </w:r>
    </w:p>
    <w:p w14:paraId="2F5A66FA">
      <w:pPr>
        <w:pStyle w:val="26"/>
        <w:ind w:firstLine="480"/>
        <w:jc w:val="center"/>
        <w:rPr>
          <w:rFonts w:hint="default"/>
        </w:rPr>
      </w:pPr>
      <w:r>
        <w:t xml:space="preserve">                        委托代理人：      　　　　（签字）</w:t>
      </w:r>
    </w:p>
    <w:p w14:paraId="29500D16">
      <w:pPr>
        <w:pStyle w:val="26"/>
        <w:ind w:firstLine="480"/>
        <w:jc w:val="right"/>
        <w:rPr>
          <w:rFonts w:hint="default"/>
        </w:rPr>
      </w:pPr>
      <w:r>
        <w:t>身份证号码：</w:t>
      </w:r>
    </w:p>
    <w:p w14:paraId="6077CA11">
      <w:pPr>
        <w:pStyle w:val="26"/>
        <w:ind w:firstLine="480"/>
        <w:jc w:val="right"/>
        <w:rPr>
          <w:rFonts w:hint="default"/>
        </w:rPr>
      </w:pPr>
      <w:r>
        <w:t>日     期 ：          年     月    日</w:t>
      </w:r>
    </w:p>
    <w:p w14:paraId="620EEDED">
      <w:pPr>
        <w:pStyle w:val="31"/>
        <w:ind w:firstLine="420"/>
      </w:pPr>
      <w:r>
        <w:t>注：</w:t>
      </w:r>
    </w:p>
    <w:p w14:paraId="74F95D67">
      <w:pPr>
        <w:pStyle w:val="31"/>
        <w:ind w:firstLine="420"/>
      </w:pPr>
      <w:r>
        <w:t>1.如果</w:t>
      </w:r>
      <w:r>
        <w:rPr>
          <w:rFonts w:hint="eastAsia"/>
        </w:rPr>
        <w:t>比选申请</w:t>
      </w:r>
      <w:r>
        <w:t>文件由委托代理人签署，则</w:t>
      </w:r>
      <w:r>
        <w:rPr>
          <w:rFonts w:hint="eastAsia"/>
        </w:rPr>
        <w:t>比选申请</w:t>
      </w:r>
      <w:r>
        <w:t>人须提交授权委托书，授权委托书须满足下列要求：</w:t>
      </w:r>
    </w:p>
    <w:p w14:paraId="7ED81EB5">
      <w:pPr>
        <w:pStyle w:val="31"/>
        <w:ind w:firstLine="420"/>
      </w:pPr>
      <w:r>
        <w:t>(1) 法定代表人和委托代理人必须在</w:t>
      </w:r>
      <w:r>
        <w:rPr>
          <w:rFonts w:hint="eastAsia"/>
        </w:rPr>
        <w:t>纸质比选申请文件</w:t>
      </w:r>
      <w:r>
        <w:t xml:space="preserve">授权书上亲笔签名，不得使用印章、签名章或其他电子制版签名； </w:t>
      </w:r>
    </w:p>
    <w:p w14:paraId="72F1D6C8">
      <w:pPr>
        <w:pStyle w:val="31"/>
        <w:ind w:firstLine="420"/>
      </w:pPr>
      <w:r>
        <w:t>(2) 委托代理人只能是一个人，且不能再授予他人，否则</w:t>
      </w:r>
      <w:r>
        <w:rPr>
          <w:rFonts w:hint="eastAsia"/>
        </w:rPr>
        <w:t>比选</w:t>
      </w:r>
      <w:r>
        <w:t>人将认为其授权无效；                 2.如果由</w:t>
      </w:r>
      <w:r>
        <w:rPr>
          <w:rFonts w:hint="eastAsia"/>
        </w:rPr>
        <w:t>比选申请</w:t>
      </w:r>
      <w:r>
        <w:t>人的法定代表人亲自签署</w:t>
      </w:r>
      <w:r>
        <w:rPr>
          <w:rFonts w:hint="eastAsia"/>
        </w:rPr>
        <w:t>比选申请</w:t>
      </w:r>
      <w:r>
        <w:t>文件，则不需提交授权委托书。</w:t>
      </w:r>
    </w:p>
    <w:p w14:paraId="45BBC2AF">
      <w:pPr>
        <w:pStyle w:val="31"/>
        <w:ind w:firstLine="420"/>
        <w:sectPr>
          <w:pgSz w:w="11906" w:h="16839"/>
          <w:pgMar w:top="1431" w:right="1528" w:bottom="1362" w:left="1541" w:header="0" w:footer="1202" w:gutter="0"/>
          <w:cols w:space="720" w:num="1"/>
        </w:sectPr>
      </w:pPr>
    </w:p>
    <w:p w14:paraId="0059BDC5">
      <w:pPr>
        <w:pStyle w:val="7"/>
        <w:jc w:val="center"/>
      </w:pPr>
      <w:r>
        <w:rPr>
          <w:rFonts w:hint="eastAsia"/>
        </w:rPr>
        <w:t>（二）</w:t>
      </w:r>
      <w:r>
        <w:t xml:space="preserve"> 法定代表人身份证明</w:t>
      </w:r>
    </w:p>
    <w:p w14:paraId="30FC631B">
      <w:pPr>
        <w:pStyle w:val="26"/>
        <w:ind w:firstLine="480"/>
        <w:rPr>
          <w:rFonts w:hint="default"/>
        </w:rPr>
      </w:pPr>
    </w:p>
    <w:p w14:paraId="68DA3E41">
      <w:pPr>
        <w:pStyle w:val="26"/>
        <w:ind w:firstLine="480"/>
        <w:rPr>
          <w:rFonts w:hint="default"/>
          <w:u w:val="single"/>
        </w:rPr>
      </w:pPr>
      <w:r>
        <w:t>比选申请人名称：</w:t>
      </w:r>
      <w:r>
        <w:rPr>
          <w:u w:val="single"/>
        </w:rPr>
        <w:t xml:space="preserve">                                     </w:t>
      </w:r>
      <w:r>
        <w:rPr>
          <w:u w:val="single"/>
        </w:rPr>
        <w:tab/>
      </w:r>
      <w:r>
        <w:rPr>
          <w:u w:val="single"/>
        </w:rPr>
        <w:t xml:space="preserve">              </w:t>
      </w:r>
    </w:p>
    <w:p w14:paraId="79D1F04D">
      <w:pPr>
        <w:pStyle w:val="26"/>
        <w:ind w:firstLine="480"/>
        <w:rPr>
          <w:rFonts w:hint="default"/>
        </w:rPr>
      </w:pPr>
      <w:r>
        <w:t xml:space="preserve">姓名：  </w:t>
      </w:r>
      <w:r>
        <w:rPr>
          <w:u w:val="single"/>
        </w:rPr>
        <w:t xml:space="preserve">（法定代表人亲笔签字）　   </w:t>
      </w:r>
      <w:r>
        <w:t xml:space="preserve">    ，性别： </w:t>
      </w:r>
      <w:r>
        <w:rPr>
          <w:u w:val="single"/>
        </w:rPr>
        <w:t xml:space="preserve">            </w:t>
      </w:r>
      <w:r>
        <w:t xml:space="preserve">，年龄： </w:t>
      </w:r>
      <w:r>
        <w:rPr>
          <w:u w:val="single"/>
        </w:rPr>
        <w:t xml:space="preserve">             </w:t>
      </w:r>
      <w:r>
        <w:t>，职务：</w:t>
      </w:r>
      <w:r>
        <w:rPr>
          <w:u w:val="single"/>
        </w:rPr>
        <w:t xml:space="preserve">                      </w:t>
      </w:r>
      <w:r>
        <w:t xml:space="preserve">   系 </w:t>
      </w:r>
      <w:r>
        <w:rPr>
          <w:u w:val="single"/>
        </w:rPr>
        <w:t xml:space="preserve">                  　　（比选申请人名称）</w:t>
      </w:r>
      <w:r>
        <w:t>的法定代表人。</w:t>
      </w:r>
    </w:p>
    <w:p w14:paraId="252D9E5A">
      <w:pPr>
        <w:pStyle w:val="26"/>
        <w:ind w:firstLine="480"/>
        <w:rPr>
          <w:rFonts w:hint="default"/>
        </w:rPr>
      </w:pPr>
      <w:r>
        <w:t>特此证明。</w:t>
      </w:r>
    </w:p>
    <w:p w14:paraId="3DF1EBDF">
      <w:pPr>
        <w:pStyle w:val="26"/>
        <w:ind w:firstLine="480"/>
        <w:rPr>
          <w:rFonts w:hint="default"/>
        </w:rPr>
      </w:pPr>
      <w:r>
        <w:t>附 ：法定代表人身份证（包括正面、反面）复印（黑白或彩色）　。</w:t>
      </w:r>
    </w:p>
    <w:p w14:paraId="4D44FF4D">
      <w:pPr>
        <w:pStyle w:val="26"/>
        <w:ind w:firstLine="480"/>
        <w:rPr>
          <w:rFonts w:hint="default"/>
        </w:rPr>
      </w:pPr>
    </w:p>
    <w:p w14:paraId="429F5E24">
      <w:pPr>
        <w:pStyle w:val="26"/>
        <w:ind w:firstLine="480"/>
        <w:rPr>
          <w:rFonts w:hint="default"/>
        </w:rPr>
      </w:pPr>
    </w:p>
    <w:p w14:paraId="7BEED183">
      <w:pPr>
        <w:pStyle w:val="26"/>
        <w:ind w:firstLine="480"/>
        <w:rPr>
          <w:rFonts w:hint="default"/>
        </w:rPr>
      </w:pPr>
    </w:p>
    <w:p w14:paraId="1C79EC5A">
      <w:pPr>
        <w:pStyle w:val="26"/>
        <w:ind w:firstLine="480"/>
        <w:rPr>
          <w:rFonts w:hint="default"/>
        </w:rPr>
      </w:pPr>
    </w:p>
    <w:p w14:paraId="0B3B4ED8">
      <w:pPr>
        <w:pStyle w:val="26"/>
        <w:ind w:firstLine="480"/>
        <w:rPr>
          <w:rFonts w:hint="default"/>
        </w:rPr>
      </w:pPr>
    </w:p>
    <w:p w14:paraId="3087F672">
      <w:pPr>
        <w:pStyle w:val="26"/>
        <w:ind w:firstLine="480"/>
        <w:rPr>
          <w:rFonts w:hint="default"/>
        </w:rPr>
      </w:pPr>
    </w:p>
    <w:p w14:paraId="1DED954D">
      <w:pPr>
        <w:pStyle w:val="26"/>
        <w:ind w:firstLine="480"/>
        <w:jc w:val="right"/>
        <w:rPr>
          <w:rFonts w:hint="default"/>
          <w:u w:val="single"/>
        </w:rPr>
      </w:pPr>
      <w:r>
        <w:t xml:space="preserve">比选申请 人：     </w:t>
      </w:r>
      <w:r>
        <w:rPr>
          <w:u w:val="single"/>
        </w:rPr>
        <w:t xml:space="preserve">             （全称）　　　　　（盖单位章）</w:t>
      </w:r>
    </w:p>
    <w:p w14:paraId="308FA66B">
      <w:pPr>
        <w:pStyle w:val="26"/>
        <w:ind w:firstLine="480"/>
        <w:jc w:val="right"/>
        <w:rPr>
          <w:rFonts w:hint="default"/>
        </w:rPr>
      </w:pPr>
      <w:r>
        <w:t>日      期 ：           年     月   日</w:t>
      </w:r>
    </w:p>
    <w:p w14:paraId="401488C2">
      <w:pPr>
        <w:pStyle w:val="26"/>
        <w:ind w:firstLine="480"/>
        <w:jc w:val="right"/>
        <w:rPr>
          <w:rFonts w:hint="default"/>
        </w:rPr>
      </w:pPr>
    </w:p>
    <w:p w14:paraId="436E8EF1">
      <w:pPr>
        <w:pStyle w:val="26"/>
        <w:ind w:firstLine="480"/>
        <w:rPr>
          <w:rFonts w:hint="default"/>
        </w:rPr>
      </w:pPr>
    </w:p>
    <w:p w14:paraId="0F5EE341">
      <w:pPr>
        <w:pStyle w:val="11"/>
        <w:adjustRightInd w:val="0"/>
        <w:snapToGrid w:val="0"/>
        <w:spacing w:line="360" w:lineRule="auto"/>
        <w:ind w:firstLine="480" w:firstLineChars="200"/>
        <w:rPr>
          <w:rFonts w:hAnsi="宋体" w:cs="宋体"/>
          <w:color w:val="000000"/>
        </w:rPr>
      </w:pPr>
      <w:r>
        <w:rPr>
          <w:rFonts w:hint="eastAsia" w:hAnsi="宋体" w:cs="宋体"/>
          <w:color w:val="000000"/>
        </w:rPr>
        <w:t>注：</w:t>
      </w:r>
    </w:p>
    <w:p w14:paraId="0364367A">
      <w:pPr>
        <w:pStyle w:val="11"/>
        <w:adjustRightInd w:val="0"/>
        <w:snapToGrid w:val="0"/>
        <w:spacing w:line="360" w:lineRule="auto"/>
        <w:ind w:firstLine="480" w:firstLineChars="200"/>
        <w:rPr>
          <w:rFonts w:hAnsi="宋体" w:cs="宋体"/>
          <w:color w:val="000000"/>
        </w:rPr>
      </w:pPr>
      <w:r>
        <w:rPr>
          <w:rFonts w:hAnsi="宋体" w:cs="宋体"/>
          <w:color w:val="000000"/>
        </w:rPr>
        <w:t>1.</w:t>
      </w:r>
      <w:r>
        <w:rPr>
          <w:rFonts w:hint="eastAsia" w:hAnsi="宋体" w:cs="宋体"/>
          <w:color w:val="000000"/>
        </w:rPr>
        <w:t>如果比选申请文件由比选申请人法定代表人签署，则比选申请人须提交法定代表人身份证明，法定代表人身份证明须满足下列要求：</w:t>
      </w:r>
    </w:p>
    <w:p w14:paraId="3D1DA6F1">
      <w:pPr>
        <w:pStyle w:val="11"/>
        <w:adjustRightInd w:val="0"/>
        <w:snapToGrid w:val="0"/>
        <w:spacing w:line="360" w:lineRule="auto"/>
        <w:ind w:firstLine="480" w:firstLineChars="200"/>
        <w:rPr>
          <w:rFonts w:hAnsi="宋体" w:cs="宋体"/>
          <w:color w:val="000000"/>
        </w:rPr>
      </w:pPr>
      <w:r>
        <w:rPr>
          <w:rFonts w:hint="eastAsia" w:hAnsi="宋体" w:cs="宋体"/>
          <w:color w:val="000000"/>
        </w:rPr>
        <w:t>（</w:t>
      </w:r>
      <w:r>
        <w:rPr>
          <w:rFonts w:hAnsi="宋体" w:cs="宋体"/>
          <w:color w:val="000000"/>
        </w:rPr>
        <w:t>1</w:t>
      </w:r>
      <w:r>
        <w:rPr>
          <w:rFonts w:hint="eastAsia" w:hAnsi="宋体" w:cs="宋体"/>
          <w:color w:val="000000"/>
        </w:rPr>
        <w:t>）“法定代表人签字”指法定代表人亲笔签字；</w:t>
      </w:r>
    </w:p>
    <w:p w14:paraId="7FC15845">
      <w:pPr>
        <w:pStyle w:val="11"/>
        <w:adjustRightInd w:val="0"/>
        <w:snapToGrid w:val="0"/>
        <w:spacing w:line="360" w:lineRule="auto"/>
        <w:ind w:firstLine="480" w:firstLineChars="200"/>
        <w:rPr>
          <w:rFonts w:hAnsi="宋体" w:cs="宋体"/>
          <w:color w:val="000000"/>
        </w:rPr>
      </w:pPr>
      <w:r>
        <w:rPr>
          <w:rFonts w:hint="eastAsia" w:hAnsi="宋体" w:cs="宋体"/>
          <w:color w:val="000000"/>
        </w:rPr>
        <w:t>（</w:t>
      </w:r>
      <w:r>
        <w:rPr>
          <w:rFonts w:hAnsi="宋体" w:cs="宋体"/>
          <w:color w:val="000000"/>
        </w:rPr>
        <w:t>2</w:t>
      </w:r>
      <w:r>
        <w:rPr>
          <w:rFonts w:hint="eastAsia" w:hAnsi="宋体" w:cs="宋体"/>
          <w:color w:val="000000"/>
        </w:rPr>
        <w:t>）比选申请人须在法定代表人身份证明上加盖比选申请人单位章。</w:t>
      </w:r>
    </w:p>
    <w:p w14:paraId="594D6837">
      <w:pPr>
        <w:pStyle w:val="11"/>
        <w:adjustRightInd w:val="0"/>
        <w:snapToGrid w:val="0"/>
        <w:spacing w:line="360" w:lineRule="auto"/>
        <w:ind w:firstLine="480" w:firstLineChars="200"/>
        <w:rPr>
          <w:rFonts w:hAnsi="宋体" w:cs="宋体"/>
          <w:color w:val="000000"/>
        </w:rPr>
      </w:pPr>
      <w:r>
        <w:rPr>
          <w:rFonts w:hAnsi="宋体" w:cs="宋体"/>
          <w:color w:val="000000"/>
        </w:rPr>
        <w:t>2.</w:t>
      </w:r>
      <w:r>
        <w:rPr>
          <w:rFonts w:hint="eastAsia" w:hAnsi="宋体" w:cs="宋体"/>
          <w:color w:val="000000"/>
        </w:rPr>
        <w:t>如果由比选申请人的法定代表人亲自签署比选申请文件，则不需提交授权委托书。</w:t>
      </w:r>
    </w:p>
    <w:p w14:paraId="5DB92D29">
      <w:pPr>
        <w:pStyle w:val="6"/>
      </w:pPr>
    </w:p>
    <w:p w14:paraId="1C557376"/>
    <w:p w14:paraId="4124A75C">
      <w:pPr>
        <w:pStyle w:val="2"/>
        <w:ind w:left="480" w:firstLine="560"/>
      </w:pPr>
    </w:p>
    <w:p w14:paraId="062F1EE4">
      <w:pPr>
        <w:pStyle w:val="6"/>
      </w:pPr>
    </w:p>
    <w:p w14:paraId="38DBA94B"/>
    <w:p w14:paraId="45E46283">
      <w:pPr>
        <w:pStyle w:val="2"/>
        <w:ind w:left="480" w:firstLine="560"/>
      </w:pPr>
    </w:p>
    <w:p w14:paraId="3BBC5215">
      <w:pPr>
        <w:pStyle w:val="6"/>
      </w:pPr>
      <w:r>
        <w:rPr>
          <w:rFonts w:hint="eastAsia"/>
        </w:rPr>
        <w:t>四</w:t>
      </w:r>
      <w:r>
        <w:t>、资格审查表</w:t>
      </w:r>
    </w:p>
    <w:p w14:paraId="752E678E">
      <w:pPr>
        <w:pStyle w:val="7"/>
        <w:jc w:val="center"/>
      </w:pPr>
      <w:r>
        <w:t xml:space="preserve">(一) </w:t>
      </w:r>
      <w:r>
        <w:rPr>
          <w:rFonts w:hint="eastAsia"/>
        </w:rPr>
        <w:t>比选申请</w:t>
      </w:r>
      <w:r>
        <w:t>人基本情况表</w:t>
      </w:r>
    </w:p>
    <w:p w14:paraId="7B9AF8AD"/>
    <w:p w14:paraId="36F3E52D">
      <w:pPr>
        <w:spacing w:line="31" w:lineRule="exact"/>
      </w:pPr>
    </w:p>
    <w:tbl>
      <w:tblPr>
        <w:tblStyle w:val="97"/>
        <w:tblW w:w="90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99"/>
        <w:gridCol w:w="2847"/>
        <w:gridCol w:w="1186"/>
        <w:gridCol w:w="1535"/>
      </w:tblGrid>
      <w:tr w14:paraId="1569E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3499" w:type="dxa"/>
            <w:vAlign w:val="center"/>
          </w:tcPr>
          <w:p w14:paraId="554B5F40">
            <w:pPr>
              <w:pStyle w:val="29"/>
            </w:pPr>
            <w:r>
              <w:rPr>
                <w:rFonts w:hint="eastAsia"/>
              </w:rPr>
              <w:t>比选申请</w:t>
            </w:r>
            <w:r>
              <w:t>人名称</w:t>
            </w:r>
          </w:p>
        </w:tc>
        <w:tc>
          <w:tcPr>
            <w:tcW w:w="5568" w:type="dxa"/>
            <w:gridSpan w:val="3"/>
            <w:vAlign w:val="center"/>
          </w:tcPr>
          <w:p w14:paraId="39ED437B">
            <w:pPr>
              <w:pStyle w:val="29"/>
            </w:pPr>
          </w:p>
        </w:tc>
      </w:tr>
      <w:tr w14:paraId="26CB2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3499" w:type="dxa"/>
            <w:vAlign w:val="center"/>
          </w:tcPr>
          <w:p w14:paraId="319E2640">
            <w:pPr>
              <w:pStyle w:val="29"/>
            </w:pPr>
            <w:r>
              <w:t>注册地址</w:t>
            </w:r>
          </w:p>
        </w:tc>
        <w:tc>
          <w:tcPr>
            <w:tcW w:w="2847" w:type="dxa"/>
            <w:vAlign w:val="center"/>
          </w:tcPr>
          <w:p w14:paraId="689EF283">
            <w:pPr>
              <w:pStyle w:val="29"/>
            </w:pPr>
          </w:p>
        </w:tc>
        <w:tc>
          <w:tcPr>
            <w:tcW w:w="1186" w:type="dxa"/>
            <w:vAlign w:val="center"/>
          </w:tcPr>
          <w:p w14:paraId="2B79644F">
            <w:pPr>
              <w:pStyle w:val="29"/>
            </w:pPr>
            <w:r>
              <w:t>邮政编码</w:t>
            </w:r>
          </w:p>
        </w:tc>
        <w:tc>
          <w:tcPr>
            <w:tcW w:w="1535" w:type="dxa"/>
            <w:vAlign w:val="center"/>
          </w:tcPr>
          <w:p w14:paraId="5F595097">
            <w:pPr>
              <w:pStyle w:val="29"/>
            </w:pPr>
          </w:p>
        </w:tc>
      </w:tr>
      <w:tr w14:paraId="11DF1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3499" w:type="dxa"/>
            <w:vAlign w:val="center"/>
          </w:tcPr>
          <w:p w14:paraId="003EE879">
            <w:pPr>
              <w:pStyle w:val="29"/>
            </w:pPr>
            <w:r>
              <w:t>法定代表人姓名</w:t>
            </w:r>
          </w:p>
        </w:tc>
        <w:tc>
          <w:tcPr>
            <w:tcW w:w="2847" w:type="dxa"/>
            <w:vAlign w:val="center"/>
          </w:tcPr>
          <w:p w14:paraId="7E9F2361">
            <w:pPr>
              <w:pStyle w:val="29"/>
            </w:pPr>
          </w:p>
        </w:tc>
        <w:tc>
          <w:tcPr>
            <w:tcW w:w="1186" w:type="dxa"/>
            <w:vAlign w:val="center"/>
          </w:tcPr>
          <w:p w14:paraId="547310F2">
            <w:pPr>
              <w:pStyle w:val="29"/>
            </w:pPr>
            <w:r>
              <w:t>电话</w:t>
            </w:r>
          </w:p>
        </w:tc>
        <w:tc>
          <w:tcPr>
            <w:tcW w:w="1535" w:type="dxa"/>
            <w:vAlign w:val="center"/>
          </w:tcPr>
          <w:p w14:paraId="48E76D73">
            <w:pPr>
              <w:pStyle w:val="29"/>
            </w:pPr>
          </w:p>
        </w:tc>
      </w:tr>
      <w:tr w14:paraId="6977F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3499" w:type="dxa"/>
            <w:vAlign w:val="center"/>
          </w:tcPr>
          <w:p w14:paraId="498955BE">
            <w:pPr>
              <w:pStyle w:val="29"/>
            </w:pPr>
            <w:r>
              <w:t>营业执照或事业单位法人证书编号</w:t>
            </w:r>
          </w:p>
        </w:tc>
        <w:tc>
          <w:tcPr>
            <w:tcW w:w="5568" w:type="dxa"/>
            <w:gridSpan w:val="3"/>
            <w:vAlign w:val="center"/>
          </w:tcPr>
          <w:p w14:paraId="0FA4E990">
            <w:pPr>
              <w:pStyle w:val="29"/>
            </w:pPr>
          </w:p>
        </w:tc>
      </w:tr>
      <w:tr w14:paraId="4370E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3499" w:type="dxa"/>
            <w:vAlign w:val="center"/>
          </w:tcPr>
          <w:p w14:paraId="32FC0EA6">
            <w:pPr>
              <w:pStyle w:val="29"/>
            </w:pPr>
            <w:r>
              <w:rPr>
                <w:rFonts w:hint="eastAsia"/>
              </w:rPr>
              <w:t>企业资质证书</w:t>
            </w:r>
          </w:p>
        </w:tc>
        <w:tc>
          <w:tcPr>
            <w:tcW w:w="5568" w:type="dxa"/>
            <w:gridSpan w:val="3"/>
            <w:vAlign w:val="center"/>
          </w:tcPr>
          <w:p w14:paraId="3F6C7182">
            <w:pPr>
              <w:pStyle w:val="29"/>
            </w:pPr>
            <w:r>
              <w:rPr>
                <w:rFonts w:hint="eastAsia"/>
              </w:rPr>
              <w:t>类型：       等级：        证书号：</w:t>
            </w:r>
          </w:p>
          <w:p w14:paraId="14AA270F">
            <w:pPr>
              <w:pStyle w:val="29"/>
            </w:pPr>
          </w:p>
        </w:tc>
      </w:tr>
      <w:tr w14:paraId="72F43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3499" w:type="dxa"/>
            <w:vAlign w:val="center"/>
          </w:tcPr>
          <w:p w14:paraId="5AAB50DA">
            <w:pPr>
              <w:pStyle w:val="29"/>
            </w:pPr>
            <w:r>
              <w:t>注册资本金</w:t>
            </w:r>
          </w:p>
        </w:tc>
        <w:tc>
          <w:tcPr>
            <w:tcW w:w="5568" w:type="dxa"/>
            <w:gridSpan w:val="3"/>
            <w:vAlign w:val="center"/>
          </w:tcPr>
          <w:p w14:paraId="4F2272C5">
            <w:pPr>
              <w:pStyle w:val="29"/>
            </w:pPr>
          </w:p>
        </w:tc>
      </w:tr>
      <w:tr w14:paraId="0FC9A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3499" w:type="dxa"/>
            <w:vAlign w:val="center"/>
          </w:tcPr>
          <w:p w14:paraId="0233BA40">
            <w:pPr>
              <w:pStyle w:val="29"/>
            </w:pPr>
            <w:r>
              <w:t>基本账户开户银行</w:t>
            </w:r>
          </w:p>
        </w:tc>
        <w:tc>
          <w:tcPr>
            <w:tcW w:w="5568" w:type="dxa"/>
            <w:gridSpan w:val="3"/>
            <w:vAlign w:val="center"/>
          </w:tcPr>
          <w:p w14:paraId="4C82000D">
            <w:pPr>
              <w:pStyle w:val="29"/>
            </w:pPr>
          </w:p>
        </w:tc>
      </w:tr>
      <w:tr w14:paraId="39544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3499" w:type="dxa"/>
            <w:vAlign w:val="center"/>
          </w:tcPr>
          <w:p w14:paraId="31890CEC">
            <w:pPr>
              <w:pStyle w:val="29"/>
            </w:pPr>
            <w:r>
              <w:t>基本账户账号</w:t>
            </w:r>
          </w:p>
        </w:tc>
        <w:tc>
          <w:tcPr>
            <w:tcW w:w="5568" w:type="dxa"/>
            <w:gridSpan w:val="3"/>
            <w:vAlign w:val="center"/>
          </w:tcPr>
          <w:p w14:paraId="76CFA5EC">
            <w:pPr>
              <w:pStyle w:val="29"/>
            </w:pPr>
          </w:p>
        </w:tc>
      </w:tr>
      <w:tr w14:paraId="39409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3499" w:type="dxa"/>
            <w:vAlign w:val="center"/>
          </w:tcPr>
          <w:p w14:paraId="211B790B">
            <w:pPr>
              <w:pStyle w:val="29"/>
            </w:pPr>
          </w:p>
          <w:p w14:paraId="1132D130">
            <w:pPr>
              <w:pStyle w:val="29"/>
            </w:pPr>
            <w:r>
              <w:t>经营范围</w:t>
            </w:r>
          </w:p>
        </w:tc>
        <w:tc>
          <w:tcPr>
            <w:tcW w:w="5568" w:type="dxa"/>
            <w:gridSpan w:val="3"/>
            <w:vAlign w:val="center"/>
          </w:tcPr>
          <w:p w14:paraId="09E1AE08">
            <w:pPr>
              <w:pStyle w:val="29"/>
            </w:pPr>
          </w:p>
        </w:tc>
      </w:tr>
      <w:tr w14:paraId="2E885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7" w:hRule="atLeast"/>
          <w:jc w:val="center"/>
        </w:trPr>
        <w:tc>
          <w:tcPr>
            <w:tcW w:w="3499" w:type="dxa"/>
            <w:vAlign w:val="center"/>
          </w:tcPr>
          <w:p w14:paraId="26A4AC5B">
            <w:pPr>
              <w:pStyle w:val="29"/>
              <w:rPr>
                <w:rFonts w:ascii="宋体" w:hAnsi="宋体"/>
                <w:szCs w:val="20"/>
              </w:rPr>
            </w:pPr>
            <w:r>
              <w:rPr>
                <w:rFonts w:hint="eastAsia"/>
              </w:rPr>
              <w:t>比选申请</w:t>
            </w:r>
            <w:r>
              <w:t>人关联企业情况</w:t>
            </w:r>
          </w:p>
        </w:tc>
        <w:tc>
          <w:tcPr>
            <w:tcW w:w="5568" w:type="dxa"/>
            <w:gridSpan w:val="3"/>
            <w:vAlign w:val="center"/>
          </w:tcPr>
          <w:p w14:paraId="73CC9996">
            <w:pPr>
              <w:pStyle w:val="30"/>
            </w:pPr>
            <w:r>
              <w:rPr>
                <w:rFonts w:hint="eastAsia"/>
              </w:rPr>
              <w:t>比选申请</w:t>
            </w:r>
            <w:r>
              <w:t>人应提供关联企业情况，包括：</w:t>
            </w:r>
          </w:p>
          <w:p w14:paraId="23D199A3">
            <w:pPr>
              <w:pStyle w:val="31"/>
              <w:ind w:firstLine="420"/>
            </w:pPr>
            <w:r>
              <w:t xml:space="preserve">(1) </w:t>
            </w:r>
            <w:r>
              <w:rPr>
                <w:rFonts w:hint="eastAsia"/>
              </w:rPr>
              <w:t>比选申请</w:t>
            </w:r>
            <w:r>
              <w:t>人的所有股东名称及相应股权 (出资额) 比例；如</w:t>
            </w:r>
            <w:r>
              <w:rPr>
                <w:rFonts w:hint="eastAsia"/>
              </w:rPr>
              <w:t>比选申请</w:t>
            </w:r>
            <w:r>
              <w:t>人为上市公司，</w:t>
            </w:r>
            <w:r>
              <w:rPr>
                <w:rFonts w:hint="eastAsia"/>
              </w:rPr>
              <w:t>比选申请</w:t>
            </w:r>
            <w:r>
              <w:t>人应提供股权占公司股 份总数    %以上的所有股东名称及相应股权比例；</w:t>
            </w:r>
          </w:p>
          <w:p w14:paraId="436229E9">
            <w:pPr>
              <w:pStyle w:val="31"/>
              <w:ind w:firstLine="420"/>
            </w:pPr>
            <w:r>
              <w:t xml:space="preserve">(2) </w:t>
            </w:r>
            <w:r>
              <w:rPr>
                <w:rFonts w:hint="eastAsia"/>
              </w:rPr>
              <w:t>比选申请</w:t>
            </w:r>
            <w:r>
              <w:t>人投资 (控股) 或管理的下属企业名称、 持有股权 (出资额) 比例；</w:t>
            </w:r>
          </w:p>
          <w:p w14:paraId="3DDF0749">
            <w:pPr>
              <w:pStyle w:val="31"/>
              <w:ind w:firstLine="420"/>
              <w:rPr>
                <w:rFonts w:ascii="宋体" w:hAnsi="宋体"/>
                <w:szCs w:val="20"/>
              </w:rPr>
            </w:pPr>
            <w:r>
              <w:t>(3) 与</w:t>
            </w:r>
            <w:r>
              <w:rPr>
                <w:rFonts w:hint="eastAsia"/>
              </w:rPr>
              <w:t>比选申请</w:t>
            </w:r>
            <w:r>
              <w:t>人单位负责人 (即法定代表人) 为同一 人的其他单位名称。</w:t>
            </w:r>
          </w:p>
        </w:tc>
      </w:tr>
    </w:tbl>
    <w:p w14:paraId="43EAC86B">
      <w:pPr>
        <w:rPr>
          <w:rFonts w:ascii="宋体" w:hAnsi="宋体" w:cs="宋体"/>
          <w:snapToGrid w:val="0"/>
          <w:color w:val="000000"/>
          <w:sz w:val="18"/>
          <w:szCs w:val="18"/>
          <w:lang w:bidi="ar"/>
        </w:rPr>
      </w:pPr>
    </w:p>
    <w:p w14:paraId="56971484">
      <w:pPr>
        <w:pStyle w:val="31"/>
        <w:ind w:firstLine="420"/>
      </w:pPr>
      <w:r>
        <w:rPr>
          <w:rFonts w:hint="eastAsia"/>
        </w:rPr>
        <w:t xml:space="preserve">注：在本表后应附企业法人营业执照副本和组织机构代码证副本（按照“三证合一”或“五证合一”登记制度进行登记的，可仅提供“三证合一”的营业执照副本）、资质证书正本、基本账户开户许可证或基本存款账户信息、市场监管或技术监督部门颁发的检验检测机构资质认定证书并加盖比选申请人公章。 </w:t>
      </w:r>
    </w:p>
    <w:p w14:paraId="12044FC8">
      <w:pPr>
        <w:spacing w:before="199" w:line="279" w:lineRule="auto"/>
        <w:ind w:left="219" w:right="199" w:firstLine="430"/>
        <w:rPr>
          <w:rFonts w:ascii="宋体" w:hAnsi="宋体" w:cs="宋体"/>
          <w:spacing w:val="12"/>
          <w:sz w:val="20"/>
          <w:szCs w:val="20"/>
        </w:rPr>
      </w:pPr>
    </w:p>
    <w:p w14:paraId="1A9F98E2">
      <w:pPr>
        <w:spacing w:before="48" w:line="227" w:lineRule="auto"/>
        <w:ind w:left="2624"/>
        <w:rPr>
          <w:rFonts w:ascii="宋体" w:hAnsi="宋体" w:cs="宋体"/>
          <w:spacing w:val="18"/>
          <w:sz w:val="23"/>
          <w:szCs w:val="23"/>
          <w14:textOutline w14:w="4356" w14:cap="sq" w14:cmpd="sng" w14:algn="ctr">
            <w14:solidFill>
              <w14:srgbClr w14:val="000000"/>
            </w14:solidFill>
            <w14:prstDash w14:val="solid"/>
            <w14:bevel/>
          </w14:textOutline>
        </w:rPr>
      </w:pPr>
    </w:p>
    <w:p w14:paraId="62631609">
      <w:pPr>
        <w:pStyle w:val="2"/>
        <w:ind w:left="480" w:firstLine="496"/>
        <w:rPr>
          <w:rFonts w:hAnsi="宋体" w:cs="宋体"/>
          <w:spacing w:val="18"/>
          <w:sz w:val="23"/>
          <w:szCs w:val="23"/>
          <w14:textOutline w14:w="4356" w14:cap="sq" w14:cmpd="sng" w14:algn="ctr">
            <w14:solidFill>
              <w14:srgbClr w14:val="000000"/>
            </w14:solidFill>
            <w14:prstDash w14:val="solid"/>
            <w14:bevel/>
          </w14:textOutline>
        </w:rPr>
      </w:pPr>
    </w:p>
    <w:p w14:paraId="7451DC84">
      <w:pPr>
        <w:pStyle w:val="2"/>
        <w:ind w:left="480" w:firstLine="496"/>
        <w:rPr>
          <w:rFonts w:hAnsi="宋体" w:cs="宋体"/>
          <w:spacing w:val="18"/>
          <w:sz w:val="23"/>
          <w:szCs w:val="23"/>
          <w14:textOutline w14:w="4356" w14:cap="sq" w14:cmpd="sng" w14:algn="ctr">
            <w14:solidFill>
              <w14:srgbClr w14:val="000000"/>
            </w14:solidFill>
            <w14:prstDash w14:val="solid"/>
            <w14:bevel/>
          </w14:textOutline>
        </w:rPr>
      </w:pPr>
    </w:p>
    <w:p w14:paraId="46FD8E2F">
      <w:pPr>
        <w:pStyle w:val="7"/>
        <w:jc w:val="center"/>
        <w:rPr>
          <w:rFonts w:ascii="宋体" w:hAnsi="宋体" w:cs="宋体"/>
          <w:spacing w:val="14"/>
          <w:szCs w:val="23"/>
          <w14:textOutline w14:w="4356" w14:cap="sq" w14:cmpd="sng" w14:algn="ctr">
            <w14:solidFill>
              <w14:srgbClr w14:val="000000"/>
            </w14:solidFill>
            <w14:prstDash w14:val="solid"/>
            <w14:bevel/>
          </w14:textOutline>
        </w:rPr>
      </w:pPr>
      <w:r>
        <w:rPr>
          <w:rFonts w:hint="eastAsia"/>
        </w:rPr>
        <w:t>（二）近5年完成的类似项目业绩情况表（2019年9月1日起至今）</w:t>
      </w:r>
    </w:p>
    <w:p w14:paraId="06599F28">
      <w:pPr>
        <w:spacing w:line="138" w:lineRule="exact"/>
        <w:jc w:val="center"/>
      </w:pPr>
    </w:p>
    <w:tbl>
      <w:tblPr>
        <w:tblStyle w:val="97"/>
        <w:tblW w:w="9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5"/>
        <w:gridCol w:w="1867"/>
        <w:gridCol w:w="1864"/>
        <w:gridCol w:w="1866"/>
        <w:gridCol w:w="1871"/>
      </w:tblGrid>
      <w:tr w14:paraId="0796E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545" w:type="dxa"/>
          </w:tcPr>
          <w:p w14:paraId="03E8D93F">
            <w:pPr>
              <w:pStyle w:val="128"/>
              <w:spacing w:before="279" w:line="230" w:lineRule="auto"/>
              <w:ind w:left="567"/>
              <w:rPr>
                <w:sz w:val="20"/>
                <w:szCs w:val="20"/>
              </w:rPr>
            </w:pPr>
            <w:r>
              <w:rPr>
                <w:spacing w:val="5"/>
                <w:sz w:val="20"/>
                <w:szCs w:val="20"/>
              </w:rPr>
              <w:t>序号</w:t>
            </w:r>
          </w:p>
        </w:tc>
        <w:tc>
          <w:tcPr>
            <w:tcW w:w="1867" w:type="dxa"/>
          </w:tcPr>
          <w:p w14:paraId="2DE2D5B3">
            <w:pPr>
              <w:spacing w:line="245" w:lineRule="auto"/>
              <w:rPr>
                <w:rFonts w:ascii="Arial"/>
                <w:sz w:val="21"/>
              </w:rPr>
            </w:pPr>
          </w:p>
          <w:p w14:paraId="3695500F">
            <w:pPr>
              <w:pStyle w:val="128"/>
              <w:spacing w:before="65" w:line="189" w:lineRule="auto"/>
              <w:ind w:left="899"/>
              <w:rPr>
                <w:sz w:val="20"/>
                <w:szCs w:val="20"/>
              </w:rPr>
            </w:pPr>
            <w:r>
              <w:rPr>
                <w:sz w:val="20"/>
                <w:szCs w:val="20"/>
              </w:rPr>
              <w:t>1</w:t>
            </w:r>
          </w:p>
        </w:tc>
        <w:tc>
          <w:tcPr>
            <w:tcW w:w="1864" w:type="dxa"/>
          </w:tcPr>
          <w:p w14:paraId="2E48D93F">
            <w:pPr>
              <w:spacing w:line="245" w:lineRule="auto"/>
              <w:rPr>
                <w:rFonts w:ascii="Arial"/>
                <w:sz w:val="21"/>
              </w:rPr>
            </w:pPr>
          </w:p>
          <w:p w14:paraId="4E066333">
            <w:pPr>
              <w:pStyle w:val="128"/>
              <w:spacing w:before="65" w:line="189" w:lineRule="auto"/>
              <w:ind w:left="886"/>
              <w:rPr>
                <w:sz w:val="20"/>
                <w:szCs w:val="20"/>
              </w:rPr>
            </w:pPr>
            <w:r>
              <w:rPr>
                <w:sz w:val="20"/>
                <w:szCs w:val="20"/>
              </w:rPr>
              <w:t>2</w:t>
            </w:r>
          </w:p>
        </w:tc>
        <w:tc>
          <w:tcPr>
            <w:tcW w:w="1866" w:type="dxa"/>
          </w:tcPr>
          <w:p w14:paraId="33692818">
            <w:pPr>
              <w:spacing w:line="245" w:lineRule="auto"/>
              <w:rPr>
                <w:rFonts w:ascii="Arial"/>
                <w:sz w:val="21"/>
              </w:rPr>
            </w:pPr>
          </w:p>
          <w:p w14:paraId="1A83707C">
            <w:pPr>
              <w:pStyle w:val="128"/>
              <w:spacing w:before="65" w:line="189" w:lineRule="auto"/>
              <w:ind w:left="891"/>
              <w:rPr>
                <w:sz w:val="20"/>
                <w:szCs w:val="20"/>
              </w:rPr>
            </w:pPr>
            <w:r>
              <w:rPr>
                <w:sz w:val="20"/>
                <w:szCs w:val="20"/>
              </w:rPr>
              <w:t>3</w:t>
            </w:r>
          </w:p>
        </w:tc>
        <w:tc>
          <w:tcPr>
            <w:tcW w:w="1871" w:type="dxa"/>
          </w:tcPr>
          <w:p w14:paraId="21C89B5D">
            <w:pPr>
              <w:pStyle w:val="128"/>
              <w:spacing w:before="279" w:line="291" w:lineRule="exact"/>
              <w:ind w:left="743"/>
              <w:rPr>
                <w:sz w:val="20"/>
                <w:szCs w:val="20"/>
              </w:rPr>
            </w:pPr>
            <w:r>
              <w:rPr>
                <w:spacing w:val="-2"/>
                <w:position w:val="1"/>
                <w:sz w:val="20"/>
                <w:szCs w:val="20"/>
              </w:rPr>
              <w:t>……</w:t>
            </w:r>
          </w:p>
        </w:tc>
      </w:tr>
      <w:tr w14:paraId="0690F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45" w:type="dxa"/>
          </w:tcPr>
          <w:p w14:paraId="026B1C41">
            <w:pPr>
              <w:pStyle w:val="128"/>
              <w:spacing w:before="270" w:line="229" w:lineRule="auto"/>
              <w:ind w:left="360"/>
              <w:rPr>
                <w:sz w:val="20"/>
                <w:szCs w:val="20"/>
              </w:rPr>
            </w:pPr>
            <w:r>
              <w:rPr>
                <w:spacing w:val="6"/>
                <w:sz w:val="20"/>
                <w:szCs w:val="20"/>
              </w:rPr>
              <w:t>项目名称</w:t>
            </w:r>
          </w:p>
        </w:tc>
        <w:tc>
          <w:tcPr>
            <w:tcW w:w="1867" w:type="dxa"/>
          </w:tcPr>
          <w:p w14:paraId="4DB0D6AD">
            <w:pPr>
              <w:rPr>
                <w:rFonts w:ascii="Arial"/>
                <w:sz w:val="21"/>
              </w:rPr>
            </w:pPr>
          </w:p>
        </w:tc>
        <w:tc>
          <w:tcPr>
            <w:tcW w:w="1864" w:type="dxa"/>
          </w:tcPr>
          <w:p w14:paraId="7D31CCA5">
            <w:pPr>
              <w:rPr>
                <w:rFonts w:ascii="Arial"/>
                <w:sz w:val="21"/>
              </w:rPr>
            </w:pPr>
          </w:p>
        </w:tc>
        <w:tc>
          <w:tcPr>
            <w:tcW w:w="1866" w:type="dxa"/>
          </w:tcPr>
          <w:p w14:paraId="77D5D754">
            <w:pPr>
              <w:rPr>
                <w:rFonts w:ascii="Arial"/>
                <w:sz w:val="21"/>
              </w:rPr>
            </w:pPr>
          </w:p>
        </w:tc>
        <w:tc>
          <w:tcPr>
            <w:tcW w:w="1871" w:type="dxa"/>
          </w:tcPr>
          <w:p w14:paraId="7EDE40C8">
            <w:pPr>
              <w:rPr>
                <w:rFonts w:ascii="Arial"/>
                <w:sz w:val="21"/>
              </w:rPr>
            </w:pPr>
          </w:p>
        </w:tc>
      </w:tr>
      <w:tr w14:paraId="380C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45" w:type="dxa"/>
          </w:tcPr>
          <w:p w14:paraId="621DF7F3">
            <w:pPr>
              <w:pStyle w:val="128"/>
              <w:spacing w:before="271" w:line="228" w:lineRule="auto"/>
              <w:ind w:left="360"/>
              <w:rPr>
                <w:sz w:val="20"/>
                <w:szCs w:val="20"/>
              </w:rPr>
            </w:pPr>
            <w:r>
              <w:rPr>
                <w:spacing w:val="6"/>
                <w:sz w:val="20"/>
                <w:szCs w:val="20"/>
              </w:rPr>
              <w:t>项目等级</w:t>
            </w:r>
          </w:p>
        </w:tc>
        <w:tc>
          <w:tcPr>
            <w:tcW w:w="1867" w:type="dxa"/>
          </w:tcPr>
          <w:p w14:paraId="44C0F134">
            <w:pPr>
              <w:rPr>
                <w:rFonts w:ascii="Arial"/>
                <w:sz w:val="21"/>
              </w:rPr>
            </w:pPr>
          </w:p>
        </w:tc>
        <w:tc>
          <w:tcPr>
            <w:tcW w:w="1864" w:type="dxa"/>
          </w:tcPr>
          <w:p w14:paraId="276B642A">
            <w:pPr>
              <w:rPr>
                <w:rFonts w:ascii="Arial"/>
                <w:sz w:val="21"/>
              </w:rPr>
            </w:pPr>
          </w:p>
        </w:tc>
        <w:tc>
          <w:tcPr>
            <w:tcW w:w="1866" w:type="dxa"/>
          </w:tcPr>
          <w:p w14:paraId="4C1D280D">
            <w:pPr>
              <w:rPr>
                <w:rFonts w:ascii="Arial"/>
                <w:sz w:val="21"/>
              </w:rPr>
            </w:pPr>
          </w:p>
        </w:tc>
        <w:tc>
          <w:tcPr>
            <w:tcW w:w="1871" w:type="dxa"/>
          </w:tcPr>
          <w:p w14:paraId="51E7BABB">
            <w:pPr>
              <w:rPr>
                <w:rFonts w:ascii="Arial"/>
                <w:sz w:val="21"/>
              </w:rPr>
            </w:pPr>
          </w:p>
        </w:tc>
      </w:tr>
      <w:tr w14:paraId="58AF3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45" w:type="dxa"/>
          </w:tcPr>
          <w:p w14:paraId="128169BE">
            <w:pPr>
              <w:pStyle w:val="128"/>
              <w:spacing w:before="270" w:line="229" w:lineRule="auto"/>
              <w:ind w:left="255"/>
              <w:rPr>
                <w:sz w:val="20"/>
                <w:szCs w:val="20"/>
              </w:rPr>
            </w:pPr>
            <w:r>
              <w:rPr>
                <w:spacing w:val="7"/>
                <w:sz w:val="20"/>
                <w:szCs w:val="20"/>
              </w:rPr>
              <w:t>项目委托人</w:t>
            </w:r>
          </w:p>
        </w:tc>
        <w:tc>
          <w:tcPr>
            <w:tcW w:w="1867" w:type="dxa"/>
          </w:tcPr>
          <w:p w14:paraId="0F0F6E05">
            <w:pPr>
              <w:rPr>
                <w:rFonts w:ascii="Arial"/>
                <w:sz w:val="21"/>
              </w:rPr>
            </w:pPr>
          </w:p>
        </w:tc>
        <w:tc>
          <w:tcPr>
            <w:tcW w:w="1864" w:type="dxa"/>
          </w:tcPr>
          <w:p w14:paraId="17046475">
            <w:pPr>
              <w:rPr>
                <w:rFonts w:ascii="Arial"/>
                <w:sz w:val="21"/>
              </w:rPr>
            </w:pPr>
          </w:p>
        </w:tc>
        <w:tc>
          <w:tcPr>
            <w:tcW w:w="1866" w:type="dxa"/>
          </w:tcPr>
          <w:p w14:paraId="0D2D3B91">
            <w:pPr>
              <w:rPr>
                <w:rFonts w:ascii="Arial"/>
                <w:sz w:val="21"/>
              </w:rPr>
            </w:pPr>
          </w:p>
        </w:tc>
        <w:tc>
          <w:tcPr>
            <w:tcW w:w="1871" w:type="dxa"/>
          </w:tcPr>
          <w:p w14:paraId="06CE53F8">
            <w:pPr>
              <w:rPr>
                <w:rFonts w:ascii="Arial"/>
                <w:sz w:val="21"/>
              </w:rPr>
            </w:pPr>
          </w:p>
        </w:tc>
      </w:tr>
      <w:tr w14:paraId="0752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545" w:type="dxa"/>
          </w:tcPr>
          <w:p w14:paraId="4AD3CBBE">
            <w:pPr>
              <w:pStyle w:val="128"/>
              <w:spacing w:before="269" w:line="231" w:lineRule="auto"/>
              <w:ind w:left="149"/>
              <w:rPr>
                <w:sz w:val="20"/>
                <w:szCs w:val="20"/>
              </w:rPr>
            </w:pPr>
            <w:r>
              <w:rPr>
                <w:spacing w:val="8"/>
                <w:sz w:val="20"/>
                <w:szCs w:val="20"/>
              </w:rPr>
              <w:t>合同签订时间</w:t>
            </w:r>
          </w:p>
        </w:tc>
        <w:tc>
          <w:tcPr>
            <w:tcW w:w="1867" w:type="dxa"/>
          </w:tcPr>
          <w:p w14:paraId="2C5E31DA">
            <w:pPr>
              <w:rPr>
                <w:rFonts w:ascii="Arial"/>
                <w:sz w:val="21"/>
              </w:rPr>
            </w:pPr>
          </w:p>
        </w:tc>
        <w:tc>
          <w:tcPr>
            <w:tcW w:w="1864" w:type="dxa"/>
          </w:tcPr>
          <w:p w14:paraId="18BE201E">
            <w:pPr>
              <w:rPr>
                <w:rFonts w:ascii="Arial"/>
                <w:sz w:val="21"/>
              </w:rPr>
            </w:pPr>
          </w:p>
        </w:tc>
        <w:tc>
          <w:tcPr>
            <w:tcW w:w="1866" w:type="dxa"/>
          </w:tcPr>
          <w:p w14:paraId="7C3C05EE">
            <w:pPr>
              <w:rPr>
                <w:rFonts w:ascii="Arial"/>
                <w:sz w:val="21"/>
              </w:rPr>
            </w:pPr>
          </w:p>
        </w:tc>
        <w:tc>
          <w:tcPr>
            <w:tcW w:w="1871" w:type="dxa"/>
          </w:tcPr>
          <w:p w14:paraId="23DDBCB9">
            <w:pPr>
              <w:rPr>
                <w:rFonts w:ascii="Arial"/>
                <w:sz w:val="21"/>
              </w:rPr>
            </w:pPr>
          </w:p>
        </w:tc>
      </w:tr>
      <w:tr w14:paraId="3B74D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45" w:type="dxa"/>
          </w:tcPr>
          <w:p w14:paraId="6B3170DE">
            <w:pPr>
              <w:pStyle w:val="128"/>
              <w:spacing w:before="271" w:line="228" w:lineRule="auto"/>
              <w:ind w:left="152"/>
              <w:rPr>
                <w:sz w:val="20"/>
                <w:szCs w:val="20"/>
              </w:rPr>
            </w:pPr>
            <w:r>
              <w:rPr>
                <w:spacing w:val="7"/>
                <w:sz w:val="20"/>
                <w:szCs w:val="20"/>
              </w:rPr>
              <w:t>项目完成时间</w:t>
            </w:r>
          </w:p>
        </w:tc>
        <w:tc>
          <w:tcPr>
            <w:tcW w:w="1867" w:type="dxa"/>
          </w:tcPr>
          <w:p w14:paraId="594BEBBD">
            <w:pPr>
              <w:rPr>
                <w:rFonts w:ascii="Arial"/>
                <w:sz w:val="21"/>
              </w:rPr>
            </w:pPr>
          </w:p>
        </w:tc>
        <w:tc>
          <w:tcPr>
            <w:tcW w:w="1864" w:type="dxa"/>
          </w:tcPr>
          <w:p w14:paraId="380A612F">
            <w:pPr>
              <w:rPr>
                <w:rFonts w:ascii="Arial"/>
                <w:sz w:val="21"/>
              </w:rPr>
            </w:pPr>
          </w:p>
        </w:tc>
        <w:tc>
          <w:tcPr>
            <w:tcW w:w="1866" w:type="dxa"/>
          </w:tcPr>
          <w:p w14:paraId="66B6EFC5">
            <w:pPr>
              <w:rPr>
                <w:rFonts w:ascii="Arial"/>
                <w:sz w:val="21"/>
              </w:rPr>
            </w:pPr>
          </w:p>
        </w:tc>
        <w:tc>
          <w:tcPr>
            <w:tcW w:w="1871" w:type="dxa"/>
          </w:tcPr>
          <w:p w14:paraId="74C14DC7">
            <w:pPr>
              <w:rPr>
                <w:rFonts w:ascii="Arial"/>
                <w:sz w:val="21"/>
              </w:rPr>
            </w:pPr>
          </w:p>
        </w:tc>
      </w:tr>
      <w:tr w14:paraId="3680F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45" w:type="dxa"/>
          </w:tcPr>
          <w:p w14:paraId="00A11E2B">
            <w:pPr>
              <w:pStyle w:val="128"/>
              <w:spacing w:before="271" w:line="228" w:lineRule="auto"/>
              <w:ind w:left="357"/>
              <w:rPr>
                <w:sz w:val="20"/>
                <w:szCs w:val="20"/>
              </w:rPr>
            </w:pPr>
            <w:r>
              <w:rPr>
                <w:spacing w:val="7"/>
                <w:sz w:val="20"/>
                <w:szCs w:val="20"/>
              </w:rPr>
              <w:t>服务内容</w:t>
            </w:r>
          </w:p>
        </w:tc>
        <w:tc>
          <w:tcPr>
            <w:tcW w:w="1867" w:type="dxa"/>
          </w:tcPr>
          <w:p w14:paraId="1106ED46">
            <w:pPr>
              <w:rPr>
                <w:rFonts w:ascii="Arial"/>
                <w:sz w:val="21"/>
              </w:rPr>
            </w:pPr>
          </w:p>
        </w:tc>
        <w:tc>
          <w:tcPr>
            <w:tcW w:w="1864" w:type="dxa"/>
          </w:tcPr>
          <w:p w14:paraId="038540AE">
            <w:pPr>
              <w:rPr>
                <w:rFonts w:ascii="Arial"/>
                <w:sz w:val="21"/>
              </w:rPr>
            </w:pPr>
          </w:p>
        </w:tc>
        <w:tc>
          <w:tcPr>
            <w:tcW w:w="1866" w:type="dxa"/>
          </w:tcPr>
          <w:p w14:paraId="2F37FDAA">
            <w:pPr>
              <w:rPr>
                <w:rFonts w:ascii="Arial"/>
                <w:sz w:val="21"/>
              </w:rPr>
            </w:pPr>
          </w:p>
        </w:tc>
        <w:tc>
          <w:tcPr>
            <w:tcW w:w="1871" w:type="dxa"/>
          </w:tcPr>
          <w:p w14:paraId="0FB56D49">
            <w:pPr>
              <w:rPr>
                <w:rFonts w:ascii="Arial"/>
                <w:sz w:val="21"/>
              </w:rPr>
            </w:pPr>
          </w:p>
        </w:tc>
      </w:tr>
      <w:tr w14:paraId="0E260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545" w:type="dxa"/>
          </w:tcPr>
          <w:p w14:paraId="4C2FE4AA">
            <w:pPr>
              <w:pStyle w:val="128"/>
              <w:spacing w:before="273" w:line="227" w:lineRule="auto"/>
              <w:ind w:left="358"/>
              <w:rPr>
                <w:sz w:val="20"/>
                <w:szCs w:val="20"/>
              </w:rPr>
            </w:pPr>
            <w:r>
              <w:rPr>
                <w:spacing w:val="7"/>
                <w:sz w:val="20"/>
                <w:szCs w:val="20"/>
              </w:rPr>
              <w:t>合同价格</w:t>
            </w:r>
          </w:p>
        </w:tc>
        <w:tc>
          <w:tcPr>
            <w:tcW w:w="1867" w:type="dxa"/>
          </w:tcPr>
          <w:p w14:paraId="63663D13">
            <w:pPr>
              <w:rPr>
                <w:rFonts w:ascii="Arial"/>
                <w:sz w:val="21"/>
              </w:rPr>
            </w:pPr>
          </w:p>
        </w:tc>
        <w:tc>
          <w:tcPr>
            <w:tcW w:w="1864" w:type="dxa"/>
          </w:tcPr>
          <w:p w14:paraId="5333596C">
            <w:pPr>
              <w:rPr>
                <w:rFonts w:ascii="Arial"/>
                <w:sz w:val="21"/>
              </w:rPr>
            </w:pPr>
          </w:p>
        </w:tc>
        <w:tc>
          <w:tcPr>
            <w:tcW w:w="1866" w:type="dxa"/>
          </w:tcPr>
          <w:p w14:paraId="11BF49AC">
            <w:pPr>
              <w:rPr>
                <w:rFonts w:ascii="Arial"/>
                <w:sz w:val="21"/>
              </w:rPr>
            </w:pPr>
          </w:p>
        </w:tc>
        <w:tc>
          <w:tcPr>
            <w:tcW w:w="1871" w:type="dxa"/>
          </w:tcPr>
          <w:p w14:paraId="6568F65D">
            <w:pPr>
              <w:rPr>
                <w:rFonts w:ascii="Arial"/>
                <w:sz w:val="21"/>
              </w:rPr>
            </w:pPr>
          </w:p>
        </w:tc>
      </w:tr>
    </w:tbl>
    <w:p w14:paraId="1119000F">
      <w:pPr>
        <w:pStyle w:val="31"/>
        <w:ind w:firstLine="420"/>
      </w:pPr>
    </w:p>
    <w:p w14:paraId="5EDD96BB">
      <w:pPr>
        <w:pStyle w:val="31"/>
        <w:ind w:firstLine="420"/>
      </w:pPr>
      <w:r>
        <w:t>注：</w:t>
      </w:r>
    </w:p>
    <w:p w14:paraId="3DBAACB5">
      <w:pPr>
        <w:pStyle w:val="31"/>
        <w:ind w:firstLine="420"/>
      </w:pPr>
      <w:r>
        <w:t>1.近五年是指自</w:t>
      </w:r>
      <w:r>
        <w:rPr>
          <w:rFonts w:hint="eastAsia"/>
        </w:rPr>
        <w:t>2019年9月</w:t>
      </w:r>
      <w:r>
        <w:t>1日起，均以以项目交工时间为准。</w:t>
      </w:r>
    </w:p>
    <w:p w14:paraId="56A2ACD1">
      <w:pPr>
        <w:pStyle w:val="31"/>
        <w:ind w:firstLine="420"/>
      </w:pPr>
      <w:r>
        <w:t>2. 业 绩 应 附 下 述 证 明 材 料 ：合同协议书和由委托人（发包人）出 具的证明文件彩色扫描件或清晰可辨的复印件作为证明文件。</w:t>
      </w:r>
    </w:p>
    <w:p w14:paraId="71007FE2">
      <w:pPr>
        <w:pStyle w:val="31"/>
        <w:ind w:firstLine="420"/>
      </w:pPr>
      <w:r>
        <w:t>3.业绩未附证明材料、证明材料不全或不满足资格审查条件的业绩，视为无效业绩。</w:t>
      </w:r>
    </w:p>
    <w:p w14:paraId="7DE2C7B1">
      <w:pPr>
        <w:pStyle w:val="31"/>
        <w:ind w:firstLine="420"/>
      </w:pPr>
    </w:p>
    <w:p w14:paraId="3095B4C1">
      <w:pPr>
        <w:spacing w:before="48" w:line="227" w:lineRule="auto"/>
        <w:ind w:left="3342"/>
        <w:rPr>
          <w:rFonts w:ascii="宋体" w:hAnsi="宋体" w:cs="宋体"/>
          <w:spacing w:val="11"/>
          <w:sz w:val="23"/>
          <w:szCs w:val="23"/>
          <w14:textOutline w14:w="4356" w14:cap="sq" w14:cmpd="sng" w14:algn="ctr">
            <w14:solidFill>
              <w14:srgbClr w14:val="000000"/>
            </w14:solidFill>
            <w14:prstDash w14:val="solid"/>
            <w14:bevel/>
          </w14:textOutline>
        </w:rPr>
      </w:pPr>
    </w:p>
    <w:p w14:paraId="36A72C9D">
      <w:pPr>
        <w:spacing w:before="48" w:line="227" w:lineRule="auto"/>
        <w:ind w:left="3342"/>
        <w:rPr>
          <w:rFonts w:ascii="宋体" w:hAnsi="宋体" w:cs="宋体"/>
          <w:spacing w:val="11"/>
          <w:sz w:val="23"/>
          <w:szCs w:val="23"/>
          <w14:textOutline w14:w="4356" w14:cap="sq" w14:cmpd="sng" w14:algn="ctr">
            <w14:solidFill>
              <w14:srgbClr w14:val="000000"/>
            </w14:solidFill>
            <w14:prstDash w14:val="solid"/>
            <w14:bevel/>
          </w14:textOutline>
        </w:rPr>
      </w:pPr>
    </w:p>
    <w:p w14:paraId="7F69C0A2">
      <w:pPr>
        <w:pStyle w:val="2"/>
        <w:ind w:left="480" w:firstLine="482"/>
        <w:rPr>
          <w:rFonts w:hAnsi="宋体" w:cs="宋体"/>
          <w:spacing w:val="11"/>
          <w:sz w:val="23"/>
          <w:szCs w:val="23"/>
          <w14:textOutline w14:w="4356" w14:cap="sq" w14:cmpd="sng" w14:algn="ctr">
            <w14:solidFill>
              <w14:srgbClr w14:val="000000"/>
            </w14:solidFill>
            <w14:prstDash w14:val="solid"/>
            <w14:bevel/>
          </w14:textOutline>
        </w:rPr>
      </w:pPr>
    </w:p>
    <w:p w14:paraId="086A3921">
      <w:pPr>
        <w:pStyle w:val="2"/>
        <w:ind w:left="480" w:firstLine="482"/>
        <w:rPr>
          <w:rFonts w:hAnsi="宋体" w:cs="宋体"/>
          <w:spacing w:val="11"/>
          <w:sz w:val="23"/>
          <w:szCs w:val="23"/>
          <w14:textOutline w14:w="4356" w14:cap="sq" w14:cmpd="sng" w14:algn="ctr">
            <w14:solidFill>
              <w14:srgbClr w14:val="000000"/>
            </w14:solidFill>
            <w14:prstDash w14:val="solid"/>
            <w14:bevel/>
          </w14:textOutline>
        </w:rPr>
      </w:pPr>
    </w:p>
    <w:p w14:paraId="6371BF6B"/>
    <w:p w14:paraId="17D03D48">
      <w:pPr>
        <w:pStyle w:val="2"/>
        <w:ind w:left="480" w:firstLine="560"/>
        <w:sectPr>
          <w:footerReference r:id="rId19" w:type="default"/>
          <w:pgSz w:w="11906" w:h="16839"/>
          <w:pgMar w:top="1431" w:right="1266" w:bottom="1360" w:left="1523" w:header="0" w:footer="1202" w:gutter="0"/>
          <w:cols w:space="720" w:num="1"/>
        </w:sectPr>
      </w:pPr>
    </w:p>
    <w:p w14:paraId="263AE6CE">
      <w:pPr>
        <w:pStyle w:val="7"/>
        <w:jc w:val="center"/>
      </w:pPr>
      <w:r>
        <w:rPr>
          <w:rFonts w:hint="eastAsia"/>
        </w:rPr>
        <w:t>（三）拟委任的主要人员情况表</w:t>
      </w:r>
    </w:p>
    <w:p w14:paraId="537FABB9">
      <w:pPr>
        <w:rPr>
          <w:rStyle w:val="133"/>
          <w:rFonts w:hint="default"/>
        </w:rPr>
      </w:pPr>
      <w:r>
        <w:rPr>
          <w:rFonts w:hint="eastAsia" w:ascii="黑体" w:hAnsi="黑体" w:eastAsia="黑体" w:cs="宋体"/>
          <w:bCs/>
        </w:rPr>
        <w:t xml:space="preserve">    </w:t>
      </w:r>
      <w:r>
        <w:rPr>
          <w:rStyle w:val="133"/>
          <w:rFonts w:hint="default"/>
        </w:rPr>
        <w:t xml:space="preserve">    </w:t>
      </w:r>
    </w:p>
    <w:p w14:paraId="1859ED0B">
      <w:pPr>
        <w:pStyle w:val="130"/>
        <w:shd w:val="clear" w:color="auto" w:fill="FFFFFF"/>
        <w:spacing w:line="276" w:lineRule="auto"/>
        <w:jc w:val="center"/>
        <w:rPr>
          <w:rFonts w:ascii="黑体" w:hAnsi="黑体" w:eastAsia="黑体" w:cs="宋体"/>
          <w:bCs/>
        </w:rPr>
      </w:pPr>
      <w:r>
        <w:rPr>
          <w:rStyle w:val="133"/>
          <w:rFonts w:hint="default"/>
        </w:rPr>
        <w:t>试验室主任资历情况</w:t>
      </w:r>
      <w:r>
        <w:rPr>
          <w:rFonts w:hint="eastAsia" w:ascii="黑体" w:hAnsi="黑体" w:eastAsia="黑体" w:cs="宋体"/>
          <w:bCs/>
        </w:rPr>
        <w:t xml:space="preserve"> </w:t>
      </w:r>
      <w:r>
        <w:rPr>
          <w:rFonts w:ascii="黑体" w:hAnsi="黑体" w:eastAsia="黑体" w:cs="宋体"/>
          <w:bCs/>
        </w:rPr>
        <w:t xml:space="preserve">       </w:t>
      </w:r>
      <w:r>
        <w:rPr>
          <w:rFonts w:hint="eastAsia" w:ascii="黑体" w:hAnsi="黑体" w:eastAsia="黑体" w:cs="宋体"/>
          <w:bCs/>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320"/>
        <w:gridCol w:w="615"/>
        <w:gridCol w:w="23"/>
        <w:gridCol w:w="638"/>
        <w:gridCol w:w="1273"/>
        <w:gridCol w:w="193"/>
        <w:gridCol w:w="247"/>
        <w:gridCol w:w="820"/>
        <w:gridCol w:w="148"/>
        <w:gridCol w:w="902"/>
        <w:gridCol w:w="155"/>
        <w:gridCol w:w="895"/>
        <w:gridCol w:w="1085"/>
        <w:gridCol w:w="425"/>
        <w:gridCol w:w="883"/>
      </w:tblGrid>
      <w:tr w14:paraId="3A27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8114" w:type="dxa"/>
            <w:gridSpan w:val="15"/>
            <w:vAlign w:val="center"/>
          </w:tcPr>
          <w:p w14:paraId="42DF24FC">
            <w:pPr>
              <w:pStyle w:val="29"/>
            </w:pPr>
            <w:r>
              <w:rPr>
                <w:rFonts w:hint="eastAsia"/>
              </w:rPr>
              <w:t>基本信息</w:t>
            </w:r>
          </w:p>
        </w:tc>
        <w:tc>
          <w:tcPr>
            <w:tcW w:w="883" w:type="dxa"/>
            <w:vAlign w:val="center"/>
          </w:tcPr>
          <w:p w14:paraId="3FFFE956">
            <w:pPr>
              <w:pStyle w:val="29"/>
            </w:pPr>
            <w:r>
              <w:rPr>
                <w:rFonts w:hint="eastAsia"/>
              </w:rPr>
              <w:t>基本信息附件</w:t>
            </w:r>
          </w:p>
        </w:tc>
      </w:tr>
      <w:tr w14:paraId="3F26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95" w:type="dxa"/>
            <w:gridSpan w:val="2"/>
            <w:vAlign w:val="center"/>
          </w:tcPr>
          <w:p w14:paraId="7DD84FB0">
            <w:pPr>
              <w:pStyle w:val="29"/>
            </w:pPr>
            <w:r>
              <w:rPr>
                <w:rFonts w:hint="eastAsia"/>
              </w:rPr>
              <w:t>姓名</w:t>
            </w:r>
          </w:p>
        </w:tc>
        <w:tc>
          <w:tcPr>
            <w:tcW w:w="2549" w:type="dxa"/>
            <w:gridSpan w:val="4"/>
            <w:vAlign w:val="center"/>
          </w:tcPr>
          <w:p w14:paraId="505E9C99">
            <w:pPr>
              <w:pStyle w:val="29"/>
            </w:pPr>
          </w:p>
        </w:tc>
        <w:tc>
          <w:tcPr>
            <w:tcW w:w="440" w:type="dxa"/>
            <w:gridSpan w:val="2"/>
            <w:vAlign w:val="center"/>
          </w:tcPr>
          <w:p w14:paraId="787AF79F">
            <w:pPr>
              <w:pStyle w:val="29"/>
            </w:pPr>
            <w:r>
              <w:rPr>
                <w:rFonts w:hint="eastAsia"/>
              </w:rPr>
              <w:t>年龄</w:t>
            </w:r>
          </w:p>
        </w:tc>
        <w:tc>
          <w:tcPr>
            <w:tcW w:w="968" w:type="dxa"/>
            <w:gridSpan w:val="2"/>
            <w:vAlign w:val="center"/>
          </w:tcPr>
          <w:p w14:paraId="1F88D734">
            <w:pPr>
              <w:pStyle w:val="29"/>
            </w:pPr>
          </w:p>
        </w:tc>
        <w:tc>
          <w:tcPr>
            <w:tcW w:w="1057" w:type="dxa"/>
            <w:gridSpan w:val="2"/>
            <w:vAlign w:val="center"/>
          </w:tcPr>
          <w:p w14:paraId="2E9E8A24">
            <w:pPr>
              <w:pStyle w:val="29"/>
            </w:pPr>
            <w:r>
              <w:rPr>
                <w:rFonts w:hint="eastAsia"/>
              </w:rPr>
              <w:t>身份证号码</w:t>
            </w:r>
          </w:p>
        </w:tc>
        <w:tc>
          <w:tcPr>
            <w:tcW w:w="2405" w:type="dxa"/>
            <w:gridSpan w:val="3"/>
          </w:tcPr>
          <w:p w14:paraId="19637FEF">
            <w:pPr>
              <w:pStyle w:val="29"/>
            </w:pPr>
          </w:p>
        </w:tc>
        <w:tc>
          <w:tcPr>
            <w:tcW w:w="883" w:type="dxa"/>
            <w:vAlign w:val="center"/>
          </w:tcPr>
          <w:p w14:paraId="258564B2">
            <w:pPr>
              <w:pStyle w:val="29"/>
            </w:pPr>
            <w:r>
              <w:rPr>
                <w:rFonts w:hint="eastAsia"/>
              </w:rPr>
              <w:t>附件B1.1</w:t>
            </w:r>
          </w:p>
        </w:tc>
      </w:tr>
      <w:tr w14:paraId="5441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95" w:type="dxa"/>
            <w:gridSpan w:val="2"/>
            <w:vAlign w:val="center"/>
          </w:tcPr>
          <w:p w14:paraId="7932809D">
            <w:pPr>
              <w:pStyle w:val="29"/>
            </w:pPr>
            <w:r>
              <w:rPr>
                <w:rFonts w:hint="eastAsia"/>
              </w:rPr>
              <w:t>技术职称</w:t>
            </w:r>
          </w:p>
        </w:tc>
        <w:tc>
          <w:tcPr>
            <w:tcW w:w="2549" w:type="dxa"/>
            <w:gridSpan w:val="4"/>
            <w:vAlign w:val="center"/>
          </w:tcPr>
          <w:p w14:paraId="52789240">
            <w:pPr>
              <w:pStyle w:val="29"/>
            </w:pPr>
            <w:r>
              <w:rPr>
                <w:rFonts w:hint="eastAsia"/>
              </w:rPr>
              <w:t xml:space="preserve">□工程师  □高级工程师  </w:t>
            </w:r>
          </w:p>
          <w:p w14:paraId="77EACE17">
            <w:pPr>
              <w:pStyle w:val="29"/>
            </w:pPr>
            <w:r>
              <w:rPr>
                <w:rFonts w:hint="eastAsia"/>
              </w:rPr>
              <w:t>□正（教授级或研究员级）高级工程师</w:t>
            </w:r>
          </w:p>
        </w:tc>
        <w:tc>
          <w:tcPr>
            <w:tcW w:w="440" w:type="dxa"/>
            <w:gridSpan w:val="2"/>
            <w:vAlign w:val="center"/>
          </w:tcPr>
          <w:p w14:paraId="79656486">
            <w:pPr>
              <w:pStyle w:val="29"/>
            </w:pPr>
            <w:r>
              <w:rPr>
                <w:rFonts w:hint="eastAsia"/>
              </w:rPr>
              <w:t>专业</w:t>
            </w:r>
          </w:p>
        </w:tc>
        <w:tc>
          <w:tcPr>
            <w:tcW w:w="968" w:type="dxa"/>
            <w:gridSpan w:val="2"/>
            <w:vAlign w:val="center"/>
          </w:tcPr>
          <w:p w14:paraId="0B3D46DA">
            <w:pPr>
              <w:pStyle w:val="29"/>
            </w:pPr>
          </w:p>
        </w:tc>
        <w:tc>
          <w:tcPr>
            <w:tcW w:w="1057" w:type="dxa"/>
            <w:gridSpan w:val="2"/>
            <w:vAlign w:val="center"/>
          </w:tcPr>
          <w:p w14:paraId="1593612F">
            <w:pPr>
              <w:pStyle w:val="29"/>
            </w:pPr>
            <w:r>
              <w:rPr>
                <w:rFonts w:hint="eastAsia"/>
              </w:rPr>
              <w:t>证书编号</w:t>
            </w:r>
          </w:p>
        </w:tc>
        <w:tc>
          <w:tcPr>
            <w:tcW w:w="2405" w:type="dxa"/>
            <w:gridSpan w:val="3"/>
          </w:tcPr>
          <w:p w14:paraId="6F1EF569">
            <w:pPr>
              <w:pStyle w:val="29"/>
            </w:pPr>
          </w:p>
        </w:tc>
        <w:tc>
          <w:tcPr>
            <w:tcW w:w="883" w:type="dxa"/>
            <w:vAlign w:val="center"/>
          </w:tcPr>
          <w:p w14:paraId="386D57B6">
            <w:pPr>
              <w:pStyle w:val="29"/>
            </w:pPr>
            <w:r>
              <w:rPr>
                <w:rFonts w:hint="eastAsia"/>
              </w:rPr>
              <w:t>附件B1.2</w:t>
            </w:r>
          </w:p>
        </w:tc>
      </w:tr>
      <w:tr w14:paraId="7D98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95" w:type="dxa"/>
            <w:gridSpan w:val="2"/>
            <w:vAlign w:val="center"/>
          </w:tcPr>
          <w:p w14:paraId="6156EC19">
            <w:pPr>
              <w:pStyle w:val="29"/>
            </w:pPr>
            <w:r>
              <w:rPr>
                <w:rFonts w:hint="eastAsia"/>
              </w:rPr>
              <w:t>执业资格证书</w:t>
            </w:r>
          </w:p>
        </w:tc>
        <w:tc>
          <w:tcPr>
            <w:tcW w:w="3957" w:type="dxa"/>
            <w:gridSpan w:val="8"/>
            <w:vAlign w:val="center"/>
          </w:tcPr>
          <w:p w14:paraId="5D6814EE">
            <w:pPr>
              <w:pStyle w:val="29"/>
            </w:pPr>
            <w:r>
              <w:rPr>
                <w:rFonts w:hint="eastAsia"/>
              </w:rPr>
              <w:t>□试验检测工程师</w:t>
            </w:r>
          </w:p>
          <w:p w14:paraId="20984A91">
            <w:pPr>
              <w:pStyle w:val="29"/>
            </w:pPr>
            <w:r>
              <w:rPr>
                <w:rFonts w:hint="eastAsia"/>
              </w:rPr>
              <w:t xml:space="preserve">□其他：      </w:t>
            </w:r>
          </w:p>
        </w:tc>
        <w:tc>
          <w:tcPr>
            <w:tcW w:w="1057" w:type="dxa"/>
            <w:gridSpan w:val="2"/>
            <w:vAlign w:val="center"/>
          </w:tcPr>
          <w:p w14:paraId="5B24270A">
            <w:pPr>
              <w:pStyle w:val="29"/>
            </w:pPr>
            <w:r>
              <w:rPr>
                <w:rFonts w:hint="eastAsia"/>
              </w:rPr>
              <w:t>证书编号</w:t>
            </w:r>
          </w:p>
        </w:tc>
        <w:tc>
          <w:tcPr>
            <w:tcW w:w="2405" w:type="dxa"/>
            <w:gridSpan w:val="3"/>
          </w:tcPr>
          <w:p w14:paraId="2C53F57A">
            <w:pPr>
              <w:pStyle w:val="29"/>
            </w:pPr>
          </w:p>
        </w:tc>
        <w:tc>
          <w:tcPr>
            <w:tcW w:w="883" w:type="dxa"/>
            <w:vAlign w:val="center"/>
          </w:tcPr>
          <w:p w14:paraId="34E415F2">
            <w:pPr>
              <w:pStyle w:val="29"/>
            </w:pPr>
            <w:r>
              <w:rPr>
                <w:rFonts w:hint="eastAsia"/>
              </w:rPr>
              <w:t>附件B1.3</w:t>
            </w:r>
          </w:p>
        </w:tc>
      </w:tr>
      <w:tr w14:paraId="3716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33" w:type="dxa"/>
            <w:gridSpan w:val="4"/>
            <w:vAlign w:val="center"/>
          </w:tcPr>
          <w:p w14:paraId="29393BA8">
            <w:pPr>
              <w:pStyle w:val="29"/>
            </w:pPr>
            <w:r>
              <w:rPr>
                <w:rFonts w:hint="eastAsia"/>
              </w:rPr>
              <w:t>是否要求提供社保资料</w:t>
            </w:r>
          </w:p>
        </w:tc>
        <w:tc>
          <w:tcPr>
            <w:tcW w:w="1911" w:type="dxa"/>
            <w:gridSpan w:val="2"/>
            <w:vAlign w:val="center"/>
          </w:tcPr>
          <w:p w14:paraId="6693AAB8">
            <w:pPr>
              <w:pStyle w:val="29"/>
            </w:pPr>
            <w:r>
              <w:rPr>
                <w:rFonts w:hint="eastAsia"/>
              </w:rPr>
              <w:t>□是    □否</w:t>
            </w:r>
          </w:p>
        </w:tc>
        <w:tc>
          <w:tcPr>
            <w:tcW w:w="1408" w:type="dxa"/>
            <w:gridSpan w:val="4"/>
            <w:vAlign w:val="center"/>
          </w:tcPr>
          <w:p w14:paraId="21F69E25">
            <w:pPr>
              <w:pStyle w:val="29"/>
            </w:pPr>
            <w:r>
              <w:rPr>
                <w:rFonts w:hint="eastAsia"/>
              </w:rPr>
              <w:t>提供社保时间段</w:t>
            </w:r>
          </w:p>
        </w:tc>
        <w:tc>
          <w:tcPr>
            <w:tcW w:w="3462" w:type="dxa"/>
            <w:gridSpan w:val="5"/>
            <w:vAlign w:val="center"/>
          </w:tcPr>
          <w:p w14:paraId="3817DC8D">
            <w:pPr>
              <w:pStyle w:val="29"/>
            </w:pPr>
            <w:r>
              <w:rPr>
                <w:rFonts w:hint="eastAsia"/>
              </w:rPr>
              <w:t xml:space="preserve">      年     月 ～      年    月</w:t>
            </w:r>
          </w:p>
        </w:tc>
        <w:tc>
          <w:tcPr>
            <w:tcW w:w="883" w:type="dxa"/>
            <w:vAlign w:val="center"/>
          </w:tcPr>
          <w:p w14:paraId="3E2F44B7">
            <w:pPr>
              <w:pStyle w:val="29"/>
            </w:pPr>
            <w:r>
              <w:rPr>
                <w:rFonts w:hint="eastAsia"/>
              </w:rPr>
              <w:t>附件B1.4</w:t>
            </w:r>
          </w:p>
        </w:tc>
      </w:tr>
      <w:tr w14:paraId="16FC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3" w:type="dxa"/>
            <w:gridSpan w:val="4"/>
            <w:vAlign w:val="center"/>
          </w:tcPr>
          <w:p w14:paraId="0C2D57C9">
            <w:pPr>
              <w:pStyle w:val="29"/>
            </w:pPr>
            <w:r>
              <w:rPr>
                <w:rFonts w:hint="eastAsia"/>
              </w:rPr>
              <w:t>是否在岗</w:t>
            </w:r>
          </w:p>
        </w:tc>
        <w:tc>
          <w:tcPr>
            <w:tcW w:w="6781" w:type="dxa"/>
            <w:gridSpan w:val="11"/>
            <w:vAlign w:val="center"/>
          </w:tcPr>
          <w:p w14:paraId="4C6FDD77">
            <w:pPr>
              <w:pStyle w:val="29"/>
            </w:pPr>
            <w:r>
              <w:rPr>
                <w:rFonts w:hint="eastAsia"/>
              </w:rPr>
              <w:t>□是    □否</w:t>
            </w:r>
          </w:p>
        </w:tc>
        <w:tc>
          <w:tcPr>
            <w:tcW w:w="883" w:type="dxa"/>
            <w:vAlign w:val="center"/>
          </w:tcPr>
          <w:p w14:paraId="2FA88F3C">
            <w:pPr>
              <w:pStyle w:val="29"/>
            </w:pPr>
            <w:r>
              <w:rPr>
                <w:rFonts w:hint="eastAsia"/>
              </w:rPr>
              <w:t>承诺</w:t>
            </w:r>
            <w:r>
              <w:t>见</w:t>
            </w:r>
            <w:r>
              <w:rPr>
                <w:rFonts w:hint="eastAsia"/>
              </w:rPr>
              <w:t>比选申请</w:t>
            </w:r>
            <w:r>
              <w:t>函</w:t>
            </w:r>
          </w:p>
        </w:tc>
      </w:tr>
      <w:tr w14:paraId="4C00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997" w:type="dxa"/>
            <w:gridSpan w:val="16"/>
            <w:vAlign w:val="center"/>
          </w:tcPr>
          <w:p w14:paraId="02C4DFA2">
            <w:pPr>
              <w:pStyle w:val="29"/>
            </w:pPr>
            <w:r>
              <w:rPr>
                <w:rFonts w:hint="eastAsia"/>
              </w:rPr>
              <w:t>担任资格审查要求职务完成业绩情况</w:t>
            </w:r>
          </w:p>
          <w:p w14:paraId="765CC972">
            <w:pPr>
              <w:pStyle w:val="29"/>
            </w:pPr>
          </w:p>
        </w:tc>
      </w:tr>
      <w:tr w14:paraId="1B39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75" w:type="dxa"/>
            <w:vAlign w:val="center"/>
          </w:tcPr>
          <w:p w14:paraId="27267909">
            <w:pPr>
              <w:pStyle w:val="29"/>
            </w:pPr>
            <w:r>
              <w:rPr>
                <w:rFonts w:hint="eastAsia"/>
              </w:rPr>
              <w:t>项目业主</w:t>
            </w:r>
          </w:p>
        </w:tc>
        <w:tc>
          <w:tcPr>
            <w:tcW w:w="935" w:type="dxa"/>
            <w:gridSpan w:val="2"/>
            <w:vAlign w:val="center"/>
          </w:tcPr>
          <w:p w14:paraId="7426BD33">
            <w:pPr>
              <w:pStyle w:val="29"/>
            </w:pPr>
            <w:r>
              <w:rPr>
                <w:rFonts w:hint="eastAsia"/>
              </w:rPr>
              <w:t>项目名称</w:t>
            </w:r>
          </w:p>
        </w:tc>
        <w:tc>
          <w:tcPr>
            <w:tcW w:w="661" w:type="dxa"/>
            <w:gridSpan w:val="2"/>
            <w:vAlign w:val="center"/>
          </w:tcPr>
          <w:p w14:paraId="51DB718E">
            <w:pPr>
              <w:pStyle w:val="29"/>
            </w:pPr>
            <w:r>
              <w:rPr>
                <w:rFonts w:hint="eastAsia"/>
              </w:rPr>
              <w:t>标段</w:t>
            </w:r>
          </w:p>
          <w:p w14:paraId="64C053B4">
            <w:pPr>
              <w:pStyle w:val="29"/>
            </w:pPr>
            <w:r>
              <w:rPr>
                <w:rFonts w:hint="eastAsia"/>
              </w:rPr>
              <w:t>名称</w:t>
            </w:r>
          </w:p>
        </w:tc>
        <w:tc>
          <w:tcPr>
            <w:tcW w:w="1466" w:type="dxa"/>
            <w:gridSpan w:val="2"/>
            <w:vAlign w:val="center"/>
          </w:tcPr>
          <w:p w14:paraId="2D157B2E">
            <w:pPr>
              <w:pStyle w:val="29"/>
            </w:pPr>
            <w:r>
              <w:rPr>
                <w:rFonts w:hint="eastAsia"/>
              </w:rPr>
              <w:t>试验室主任</w:t>
            </w:r>
          </w:p>
        </w:tc>
        <w:tc>
          <w:tcPr>
            <w:tcW w:w="1067" w:type="dxa"/>
            <w:gridSpan w:val="2"/>
            <w:vAlign w:val="center"/>
          </w:tcPr>
          <w:p w14:paraId="3C8EFB00">
            <w:pPr>
              <w:pStyle w:val="29"/>
            </w:pPr>
            <w:r>
              <w:rPr>
                <w:rFonts w:hint="eastAsia"/>
              </w:rPr>
              <w:t>……</w:t>
            </w:r>
          </w:p>
        </w:tc>
        <w:tc>
          <w:tcPr>
            <w:tcW w:w="1050" w:type="dxa"/>
            <w:gridSpan w:val="2"/>
            <w:vAlign w:val="center"/>
          </w:tcPr>
          <w:p w14:paraId="18CB1400">
            <w:pPr>
              <w:pStyle w:val="29"/>
            </w:pPr>
            <w:r>
              <w:rPr>
                <w:rFonts w:hint="eastAsia"/>
              </w:rPr>
              <w:t>……</w:t>
            </w:r>
          </w:p>
        </w:tc>
        <w:tc>
          <w:tcPr>
            <w:tcW w:w="1050" w:type="dxa"/>
            <w:gridSpan w:val="2"/>
            <w:vAlign w:val="center"/>
          </w:tcPr>
          <w:p w14:paraId="52A78BD1">
            <w:pPr>
              <w:pStyle w:val="29"/>
            </w:pPr>
            <w:r>
              <w:rPr>
                <w:rFonts w:hint="eastAsia"/>
              </w:rPr>
              <w:t>…</w:t>
            </w:r>
          </w:p>
        </w:tc>
        <w:tc>
          <w:tcPr>
            <w:tcW w:w="1085" w:type="dxa"/>
            <w:vAlign w:val="center"/>
          </w:tcPr>
          <w:p w14:paraId="3AD4BA2F">
            <w:pPr>
              <w:pStyle w:val="29"/>
            </w:pPr>
            <w:r>
              <w:rPr>
                <w:rFonts w:hint="eastAsia"/>
              </w:rPr>
              <w:t>……</w:t>
            </w:r>
          </w:p>
        </w:tc>
        <w:tc>
          <w:tcPr>
            <w:tcW w:w="425" w:type="dxa"/>
            <w:vAlign w:val="center"/>
          </w:tcPr>
          <w:p w14:paraId="6742A9E9">
            <w:pPr>
              <w:pStyle w:val="29"/>
            </w:pPr>
            <w:r>
              <w:rPr>
                <w:rFonts w:hint="eastAsia"/>
              </w:rPr>
              <w:t>…</w:t>
            </w:r>
          </w:p>
        </w:tc>
        <w:tc>
          <w:tcPr>
            <w:tcW w:w="883" w:type="dxa"/>
            <w:vAlign w:val="center"/>
          </w:tcPr>
          <w:p w14:paraId="522AF623">
            <w:pPr>
              <w:pStyle w:val="29"/>
            </w:pPr>
            <w:r>
              <w:rPr>
                <w:rFonts w:hint="eastAsia"/>
              </w:rPr>
              <w:t>业绩证明情况附件</w:t>
            </w:r>
          </w:p>
        </w:tc>
      </w:tr>
      <w:tr w14:paraId="432D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75" w:type="dxa"/>
            <w:vAlign w:val="center"/>
          </w:tcPr>
          <w:p w14:paraId="56DF18A7">
            <w:pPr>
              <w:pStyle w:val="29"/>
            </w:pPr>
          </w:p>
        </w:tc>
        <w:tc>
          <w:tcPr>
            <w:tcW w:w="935" w:type="dxa"/>
            <w:gridSpan w:val="2"/>
            <w:vAlign w:val="center"/>
          </w:tcPr>
          <w:p w14:paraId="0BF9B07C">
            <w:pPr>
              <w:pStyle w:val="29"/>
            </w:pPr>
          </w:p>
        </w:tc>
        <w:tc>
          <w:tcPr>
            <w:tcW w:w="661" w:type="dxa"/>
            <w:gridSpan w:val="2"/>
            <w:vAlign w:val="center"/>
          </w:tcPr>
          <w:p w14:paraId="39CF7E48">
            <w:pPr>
              <w:pStyle w:val="29"/>
            </w:pPr>
          </w:p>
        </w:tc>
        <w:tc>
          <w:tcPr>
            <w:tcW w:w="1466" w:type="dxa"/>
            <w:gridSpan w:val="2"/>
            <w:vAlign w:val="center"/>
          </w:tcPr>
          <w:p w14:paraId="6850B996">
            <w:pPr>
              <w:pStyle w:val="29"/>
            </w:pPr>
          </w:p>
        </w:tc>
        <w:tc>
          <w:tcPr>
            <w:tcW w:w="1067" w:type="dxa"/>
            <w:gridSpan w:val="2"/>
            <w:vAlign w:val="center"/>
          </w:tcPr>
          <w:p w14:paraId="41E45952">
            <w:pPr>
              <w:pStyle w:val="29"/>
            </w:pPr>
          </w:p>
        </w:tc>
        <w:tc>
          <w:tcPr>
            <w:tcW w:w="1050" w:type="dxa"/>
            <w:gridSpan w:val="2"/>
            <w:vAlign w:val="center"/>
          </w:tcPr>
          <w:p w14:paraId="7DE6C74E">
            <w:pPr>
              <w:pStyle w:val="29"/>
            </w:pPr>
          </w:p>
        </w:tc>
        <w:tc>
          <w:tcPr>
            <w:tcW w:w="1050" w:type="dxa"/>
            <w:gridSpan w:val="2"/>
            <w:vAlign w:val="center"/>
          </w:tcPr>
          <w:p w14:paraId="5BB029B2">
            <w:pPr>
              <w:pStyle w:val="29"/>
            </w:pPr>
          </w:p>
        </w:tc>
        <w:tc>
          <w:tcPr>
            <w:tcW w:w="1085" w:type="dxa"/>
            <w:vAlign w:val="center"/>
          </w:tcPr>
          <w:p w14:paraId="7FAC9826">
            <w:pPr>
              <w:pStyle w:val="29"/>
            </w:pPr>
          </w:p>
        </w:tc>
        <w:tc>
          <w:tcPr>
            <w:tcW w:w="425" w:type="dxa"/>
            <w:vAlign w:val="center"/>
          </w:tcPr>
          <w:p w14:paraId="062D7E3C">
            <w:pPr>
              <w:pStyle w:val="29"/>
            </w:pPr>
          </w:p>
        </w:tc>
        <w:tc>
          <w:tcPr>
            <w:tcW w:w="883" w:type="dxa"/>
            <w:vAlign w:val="center"/>
          </w:tcPr>
          <w:p w14:paraId="0795507C">
            <w:pPr>
              <w:pStyle w:val="29"/>
            </w:pPr>
            <w:r>
              <w:rPr>
                <w:rFonts w:hint="eastAsia"/>
              </w:rPr>
              <w:t>附件</w:t>
            </w:r>
            <w:r>
              <w:t>B1.</w:t>
            </w:r>
            <w:r>
              <w:rPr>
                <w:rFonts w:hint="eastAsia"/>
              </w:rPr>
              <w:t>5</w:t>
            </w:r>
            <w:r>
              <w:t>-1</w:t>
            </w:r>
          </w:p>
        </w:tc>
      </w:tr>
      <w:tr w14:paraId="6632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75" w:type="dxa"/>
            <w:vAlign w:val="center"/>
          </w:tcPr>
          <w:p w14:paraId="36703869">
            <w:pPr>
              <w:pStyle w:val="29"/>
            </w:pPr>
          </w:p>
        </w:tc>
        <w:tc>
          <w:tcPr>
            <w:tcW w:w="935" w:type="dxa"/>
            <w:gridSpan w:val="2"/>
            <w:vAlign w:val="center"/>
          </w:tcPr>
          <w:p w14:paraId="13E977B3">
            <w:pPr>
              <w:pStyle w:val="29"/>
            </w:pPr>
          </w:p>
        </w:tc>
        <w:tc>
          <w:tcPr>
            <w:tcW w:w="661" w:type="dxa"/>
            <w:gridSpan w:val="2"/>
            <w:vAlign w:val="center"/>
          </w:tcPr>
          <w:p w14:paraId="3A954077">
            <w:pPr>
              <w:pStyle w:val="29"/>
            </w:pPr>
          </w:p>
        </w:tc>
        <w:tc>
          <w:tcPr>
            <w:tcW w:w="1466" w:type="dxa"/>
            <w:gridSpan w:val="2"/>
            <w:vAlign w:val="center"/>
          </w:tcPr>
          <w:p w14:paraId="661C7B44">
            <w:pPr>
              <w:pStyle w:val="29"/>
            </w:pPr>
          </w:p>
        </w:tc>
        <w:tc>
          <w:tcPr>
            <w:tcW w:w="1067" w:type="dxa"/>
            <w:gridSpan w:val="2"/>
            <w:vAlign w:val="center"/>
          </w:tcPr>
          <w:p w14:paraId="2DA21193">
            <w:pPr>
              <w:pStyle w:val="29"/>
            </w:pPr>
          </w:p>
        </w:tc>
        <w:tc>
          <w:tcPr>
            <w:tcW w:w="1050" w:type="dxa"/>
            <w:gridSpan w:val="2"/>
            <w:vAlign w:val="center"/>
          </w:tcPr>
          <w:p w14:paraId="2BEA5924">
            <w:pPr>
              <w:pStyle w:val="29"/>
            </w:pPr>
          </w:p>
        </w:tc>
        <w:tc>
          <w:tcPr>
            <w:tcW w:w="1050" w:type="dxa"/>
            <w:gridSpan w:val="2"/>
            <w:vAlign w:val="center"/>
          </w:tcPr>
          <w:p w14:paraId="2460BE16">
            <w:pPr>
              <w:pStyle w:val="29"/>
            </w:pPr>
          </w:p>
        </w:tc>
        <w:tc>
          <w:tcPr>
            <w:tcW w:w="1085" w:type="dxa"/>
            <w:vAlign w:val="center"/>
          </w:tcPr>
          <w:p w14:paraId="761C9533">
            <w:pPr>
              <w:pStyle w:val="29"/>
            </w:pPr>
          </w:p>
        </w:tc>
        <w:tc>
          <w:tcPr>
            <w:tcW w:w="425" w:type="dxa"/>
            <w:vAlign w:val="center"/>
          </w:tcPr>
          <w:p w14:paraId="03C91B62">
            <w:pPr>
              <w:pStyle w:val="29"/>
            </w:pPr>
          </w:p>
        </w:tc>
        <w:tc>
          <w:tcPr>
            <w:tcW w:w="883" w:type="dxa"/>
            <w:vAlign w:val="center"/>
          </w:tcPr>
          <w:p w14:paraId="453B859D">
            <w:pPr>
              <w:pStyle w:val="29"/>
            </w:pPr>
            <w:r>
              <w:rPr>
                <w:rFonts w:hint="eastAsia"/>
              </w:rPr>
              <w:t>附件</w:t>
            </w:r>
            <w:r>
              <w:t>B1.</w:t>
            </w:r>
            <w:r>
              <w:rPr>
                <w:rFonts w:hint="eastAsia"/>
              </w:rPr>
              <w:t>5-</w:t>
            </w:r>
            <w:r>
              <w:t>2</w:t>
            </w:r>
          </w:p>
        </w:tc>
      </w:tr>
      <w:tr w14:paraId="51B4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75" w:type="dxa"/>
            <w:vAlign w:val="center"/>
          </w:tcPr>
          <w:p w14:paraId="2775BA96">
            <w:pPr>
              <w:pStyle w:val="29"/>
            </w:pPr>
          </w:p>
        </w:tc>
        <w:tc>
          <w:tcPr>
            <w:tcW w:w="935" w:type="dxa"/>
            <w:gridSpan w:val="2"/>
            <w:vAlign w:val="center"/>
          </w:tcPr>
          <w:p w14:paraId="39B2698D">
            <w:pPr>
              <w:pStyle w:val="29"/>
            </w:pPr>
          </w:p>
        </w:tc>
        <w:tc>
          <w:tcPr>
            <w:tcW w:w="661" w:type="dxa"/>
            <w:gridSpan w:val="2"/>
            <w:vAlign w:val="center"/>
          </w:tcPr>
          <w:p w14:paraId="45D1850B">
            <w:pPr>
              <w:pStyle w:val="29"/>
            </w:pPr>
          </w:p>
        </w:tc>
        <w:tc>
          <w:tcPr>
            <w:tcW w:w="1466" w:type="dxa"/>
            <w:gridSpan w:val="2"/>
            <w:vAlign w:val="center"/>
          </w:tcPr>
          <w:p w14:paraId="57D24650">
            <w:pPr>
              <w:pStyle w:val="29"/>
            </w:pPr>
          </w:p>
        </w:tc>
        <w:tc>
          <w:tcPr>
            <w:tcW w:w="1067" w:type="dxa"/>
            <w:gridSpan w:val="2"/>
            <w:vAlign w:val="center"/>
          </w:tcPr>
          <w:p w14:paraId="11CA9475">
            <w:pPr>
              <w:pStyle w:val="29"/>
            </w:pPr>
          </w:p>
        </w:tc>
        <w:tc>
          <w:tcPr>
            <w:tcW w:w="1050" w:type="dxa"/>
            <w:gridSpan w:val="2"/>
            <w:vAlign w:val="center"/>
          </w:tcPr>
          <w:p w14:paraId="01606C52">
            <w:pPr>
              <w:pStyle w:val="29"/>
            </w:pPr>
          </w:p>
        </w:tc>
        <w:tc>
          <w:tcPr>
            <w:tcW w:w="1050" w:type="dxa"/>
            <w:gridSpan w:val="2"/>
            <w:vAlign w:val="center"/>
          </w:tcPr>
          <w:p w14:paraId="5CD97B16">
            <w:pPr>
              <w:pStyle w:val="29"/>
            </w:pPr>
          </w:p>
        </w:tc>
        <w:tc>
          <w:tcPr>
            <w:tcW w:w="1085" w:type="dxa"/>
            <w:vAlign w:val="center"/>
          </w:tcPr>
          <w:p w14:paraId="07D29C1D">
            <w:pPr>
              <w:pStyle w:val="29"/>
            </w:pPr>
          </w:p>
        </w:tc>
        <w:tc>
          <w:tcPr>
            <w:tcW w:w="425" w:type="dxa"/>
            <w:vAlign w:val="center"/>
          </w:tcPr>
          <w:p w14:paraId="1299C2DD">
            <w:pPr>
              <w:pStyle w:val="29"/>
            </w:pPr>
          </w:p>
        </w:tc>
        <w:tc>
          <w:tcPr>
            <w:tcW w:w="883" w:type="dxa"/>
            <w:vAlign w:val="center"/>
          </w:tcPr>
          <w:p w14:paraId="2578C1F9">
            <w:pPr>
              <w:pStyle w:val="29"/>
            </w:pPr>
            <w:r>
              <w:rPr>
                <w:rFonts w:hint="eastAsia"/>
              </w:rPr>
              <w:t>附件</w:t>
            </w:r>
            <w:r>
              <w:t>B1.</w:t>
            </w:r>
            <w:r>
              <w:rPr>
                <w:rFonts w:hint="eastAsia"/>
              </w:rPr>
              <w:t>5</w:t>
            </w:r>
            <w:r>
              <w:t>-3</w:t>
            </w:r>
          </w:p>
        </w:tc>
      </w:tr>
      <w:tr w14:paraId="2117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75" w:type="dxa"/>
            <w:vAlign w:val="center"/>
          </w:tcPr>
          <w:p w14:paraId="0B423EE4">
            <w:pPr>
              <w:pStyle w:val="29"/>
            </w:pPr>
            <w:r>
              <w:rPr>
                <w:rFonts w:hint="eastAsia"/>
              </w:rPr>
              <w:t>……</w:t>
            </w:r>
          </w:p>
        </w:tc>
        <w:tc>
          <w:tcPr>
            <w:tcW w:w="935" w:type="dxa"/>
            <w:gridSpan w:val="2"/>
            <w:vAlign w:val="center"/>
          </w:tcPr>
          <w:p w14:paraId="417D7F50">
            <w:pPr>
              <w:pStyle w:val="29"/>
            </w:pPr>
            <w:r>
              <w:rPr>
                <w:rFonts w:hint="eastAsia"/>
              </w:rPr>
              <w:t>……</w:t>
            </w:r>
          </w:p>
        </w:tc>
        <w:tc>
          <w:tcPr>
            <w:tcW w:w="661" w:type="dxa"/>
            <w:gridSpan w:val="2"/>
            <w:vAlign w:val="center"/>
          </w:tcPr>
          <w:p w14:paraId="1A95DD76">
            <w:pPr>
              <w:pStyle w:val="29"/>
            </w:pPr>
            <w:r>
              <w:rPr>
                <w:rFonts w:hint="eastAsia"/>
              </w:rPr>
              <w:t>……</w:t>
            </w:r>
          </w:p>
        </w:tc>
        <w:tc>
          <w:tcPr>
            <w:tcW w:w="1466" w:type="dxa"/>
            <w:gridSpan w:val="2"/>
            <w:vAlign w:val="center"/>
          </w:tcPr>
          <w:p w14:paraId="5F383DE7">
            <w:pPr>
              <w:pStyle w:val="29"/>
            </w:pPr>
            <w:r>
              <w:rPr>
                <w:rFonts w:hint="eastAsia"/>
              </w:rPr>
              <w:t>……</w:t>
            </w:r>
          </w:p>
        </w:tc>
        <w:tc>
          <w:tcPr>
            <w:tcW w:w="1067" w:type="dxa"/>
            <w:gridSpan w:val="2"/>
            <w:vAlign w:val="center"/>
          </w:tcPr>
          <w:p w14:paraId="1C1E546D">
            <w:pPr>
              <w:pStyle w:val="29"/>
            </w:pPr>
            <w:r>
              <w:rPr>
                <w:rFonts w:hint="eastAsia"/>
              </w:rPr>
              <w:t>……</w:t>
            </w:r>
          </w:p>
        </w:tc>
        <w:tc>
          <w:tcPr>
            <w:tcW w:w="1050" w:type="dxa"/>
            <w:gridSpan w:val="2"/>
            <w:vAlign w:val="center"/>
          </w:tcPr>
          <w:p w14:paraId="78381051">
            <w:pPr>
              <w:pStyle w:val="29"/>
            </w:pPr>
          </w:p>
        </w:tc>
        <w:tc>
          <w:tcPr>
            <w:tcW w:w="1050" w:type="dxa"/>
            <w:gridSpan w:val="2"/>
            <w:vAlign w:val="center"/>
          </w:tcPr>
          <w:p w14:paraId="1D95943E">
            <w:pPr>
              <w:pStyle w:val="29"/>
            </w:pPr>
            <w:r>
              <w:rPr>
                <w:rFonts w:hint="eastAsia"/>
              </w:rPr>
              <w:t>……</w:t>
            </w:r>
          </w:p>
        </w:tc>
        <w:tc>
          <w:tcPr>
            <w:tcW w:w="1085" w:type="dxa"/>
            <w:vAlign w:val="center"/>
          </w:tcPr>
          <w:p w14:paraId="6ABCE2BE">
            <w:pPr>
              <w:pStyle w:val="29"/>
            </w:pPr>
            <w:r>
              <w:rPr>
                <w:rFonts w:hint="eastAsia"/>
              </w:rPr>
              <w:t>……</w:t>
            </w:r>
          </w:p>
        </w:tc>
        <w:tc>
          <w:tcPr>
            <w:tcW w:w="425" w:type="dxa"/>
            <w:vAlign w:val="center"/>
          </w:tcPr>
          <w:p w14:paraId="3BD3D926">
            <w:pPr>
              <w:pStyle w:val="29"/>
            </w:pPr>
            <w:r>
              <w:rPr>
                <w:rFonts w:hint="eastAsia"/>
              </w:rPr>
              <w:t>…</w:t>
            </w:r>
          </w:p>
        </w:tc>
        <w:tc>
          <w:tcPr>
            <w:tcW w:w="883" w:type="dxa"/>
            <w:vAlign w:val="center"/>
          </w:tcPr>
          <w:p w14:paraId="31E090B3">
            <w:pPr>
              <w:pStyle w:val="29"/>
            </w:pPr>
            <w:r>
              <w:rPr>
                <w:rFonts w:hint="eastAsia"/>
              </w:rPr>
              <w:t>……</w:t>
            </w:r>
          </w:p>
        </w:tc>
      </w:tr>
    </w:tbl>
    <w:p w14:paraId="03B0144D">
      <w:pPr>
        <w:spacing w:before="63" w:line="224" w:lineRule="auto"/>
        <w:ind w:left="2651"/>
        <w:rPr>
          <w:rFonts w:ascii="宋体" w:hAnsi="宋体" w:cs="宋体"/>
          <w:spacing w:val="27"/>
          <w:sz w:val="23"/>
          <w:szCs w:val="23"/>
          <w14:textOutline w14:w="4356" w14:cap="sq" w14:cmpd="sng" w14:algn="ctr">
            <w14:solidFill>
              <w14:srgbClr w14:val="000000"/>
            </w14:solidFill>
            <w14:prstDash w14:val="solid"/>
            <w14:bevel/>
          </w14:textOutline>
        </w:rPr>
      </w:pPr>
    </w:p>
    <w:p w14:paraId="568A2CAE">
      <w:pPr>
        <w:pStyle w:val="31"/>
        <w:ind w:firstLine="420"/>
      </w:pPr>
      <w:r>
        <w:rPr>
          <w:rFonts w:hint="eastAsia"/>
        </w:rPr>
        <w:t xml:space="preserve">注：1.比选申请人在表后应提供相关证明材料（原件原色扫描件）附件 B1 系列（身份证、职称证、执业资格证、社保证明、个人业绩证明）。因比选申请人自身原因未提供附件或提供的附件不能与所证明的内容相匹配，造成业绩或其他内容 不予认可时，比选申请人自行承担相关责任。 </w:t>
      </w:r>
    </w:p>
    <w:p w14:paraId="7AD3E5C8">
      <w:pPr>
        <w:pStyle w:val="31"/>
        <w:ind w:firstLine="420"/>
      </w:pPr>
      <w:r>
        <w:rPr>
          <w:rFonts w:hint="eastAsia"/>
        </w:rPr>
        <w:t xml:space="preserve">2.个人业绩证明材料为： 合同协议书；和项目评定书或交工验收证书或竣工验收委员会出具的公路工程竣工验收鉴定书或发包人出具的证明原件原色扫描件，其中应能够证明该人员具有相关业绩。 </w:t>
      </w:r>
    </w:p>
    <w:p w14:paraId="3F2FC5A8">
      <w:pPr>
        <w:pStyle w:val="31"/>
        <w:ind w:firstLine="420"/>
      </w:pPr>
      <w:r>
        <w:rPr>
          <w:rFonts w:hint="eastAsia"/>
        </w:rPr>
        <w:t xml:space="preserve">3.提供社保时间段要求：例如比选申请截止日所在月为“2021 年 12 月”，则提供 “2021 年 6～11 月”或“2021 年 5～10 月”在其比选申请单位连续 6 个月参加社保的证明材料。 </w:t>
      </w:r>
    </w:p>
    <w:p w14:paraId="2CD84DBB">
      <w:pPr>
        <w:rPr>
          <w:rFonts w:ascii="宋体" w:hAnsi="宋体" w:cs="宋体"/>
          <w:snapToGrid w:val="0"/>
          <w:color w:val="000000"/>
          <w:sz w:val="18"/>
          <w:szCs w:val="18"/>
          <w:lang w:bidi="ar"/>
        </w:rPr>
      </w:pPr>
    </w:p>
    <w:p w14:paraId="3D40EB8D">
      <w:pPr>
        <w:rPr>
          <w:rFonts w:ascii="宋体" w:hAnsi="宋体" w:cs="宋体"/>
          <w:snapToGrid w:val="0"/>
          <w:color w:val="000000"/>
          <w:sz w:val="18"/>
          <w:szCs w:val="18"/>
          <w:lang w:bidi="ar"/>
        </w:rPr>
      </w:pPr>
    </w:p>
    <w:p w14:paraId="32B253B4">
      <w:pPr>
        <w:rPr>
          <w:rFonts w:ascii="宋体" w:hAnsi="宋体" w:cs="宋体"/>
          <w:snapToGrid w:val="0"/>
          <w:color w:val="000000"/>
          <w:sz w:val="18"/>
          <w:szCs w:val="18"/>
          <w:lang w:bidi="ar"/>
        </w:rPr>
      </w:pPr>
    </w:p>
    <w:p w14:paraId="02E3F769">
      <w:pPr>
        <w:rPr>
          <w:rFonts w:ascii="宋体" w:hAnsi="宋体" w:cs="宋体"/>
          <w:snapToGrid w:val="0"/>
          <w:color w:val="000000"/>
          <w:sz w:val="18"/>
          <w:szCs w:val="18"/>
          <w:lang w:bidi="ar"/>
        </w:rPr>
      </w:pPr>
    </w:p>
    <w:p w14:paraId="1A6FE881">
      <w:pPr>
        <w:rPr>
          <w:rFonts w:ascii="宋体" w:hAnsi="宋体" w:cs="宋体"/>
          <w:snapToGrid w:val="0"/>
          <w:color w:val="000000"/>
          <w:sz w:val="18"/>
          <w:szCs w:val="18"/>
          <w:lang w:bidi="ar"/>
        </w:rPr>
      </w:pPr>
    </w:p>
    <w:p w14:paraId="54F15DA6">
      <w:pPr>
        <w:rPr>
          <w:rFonts w:ascii="宋体" w:hAnsi="宋体" w:cs="宋体"/>
          <w:snapToGrid w:val="0"/>
          <w:color w:val="000000"/>
          <w:sz w:val="18"/>
          <w:szCs w:val="18"/>
          <w:lang w:bidi="ar"/>
        </w:rPr>
      </w:pPr>
    </w:p>
    <w:p w14:paraId="78F86F5E">
      <w:pPr>
        <w:rPr>
          <w:rFonts w:ascii="宋体" w:hAnsi="宋体" w:cs="宋体"/>
          <w:snapToGrid w:val="0"/>
          <w:color w:val="000000"/>
          <w:sz w:val="18"/>
          <w:szCs w:val="18"/>
          <w:lang w:bidi="ar"/>
        </w:rPr>
      </w:pPr>
    </w:p>
    <w:p w14:paraId="4CDD7014">
      <w:pPr>
        <w:rPr>
          <w:rFonts w:ascii="宋体" w:hAnsi="宋体" w:cs="宋体"/>
          <w:snapToGrid w:val="0"/>
          <w:color w:val="000000"/>
          <w:sz w:val="18"/>
          <w:szCs w:val="18"/>
          <w:lang w:bidi="ar"/>
        </w:rPr>
      </w:pPr>
    </w:p>
    <w:p w14:paraId="5CF173F0">
      <w:pPr>
        <w:rPr>
          <w:rFonts w:ascii="宋体" w:hAnsi="宋体" w:cs="宋体"/>
          <w:snapToGrid w:val="0"/>
          <w:color w:val="000000"/>
          <w:sz w:val="18"/>
          <w:szCs w:val="18"/>
          <w:lang w:bidi="ar"/>
        </w:rPr>
      </w:pPr>
    </w:p>
    <w:p w14:paraId="3CDBDA9F">
      <w:pPr>
        <w:spacing w:before="63" w:line="224" w:lineRule="auto"/>
        <w:rPr>
          <w:rFonts w:ascii="宋体" w:hAnsi="宋体" w:cs="宋体"/>
          <w:spacing w:val="27"/>
          <w:sz w:val="23"/>
          <w:szCs w:val="23"/>
          <w14:textOutline w14:w="4356" w14:cap="sq" w14:cmpd="sng" w14:algn="ctr">
            <w14:solidFill>
              <w14:srgbClr w14:val="000000"/>
            </w14:solidFill>
            <w14:prstDash w14:val="solid"/>
            <w14:bevel/>
          </w14:textOutline>
        </w:rPr>
        <w:sectPr>
          <w:footerReference r:id="rId20" w:type="default"/>
          <w:pgSz w:w="11906" w:h="16839"/>
          <w:pgMar w:top="1254" w:right="1528" w:bottom="1360" w:left="1538" w:header="0" w:footer="1202" w:gutter="0"/>
          <w:cols w:space="720" w:num="1"/>
        </w:sectPr>
      </w:pPr>
    </w:p>
    <w:p w14:paraId="1C6F68E3">
      <w:pPr>
        <w:pStyle w:val="7"/>
        <w:jc w:val="center"/>
      </w:pPr>
      <w:r>
        <w:rPr>
          <w:rFonts w:hint="eastAsia"/>
        </w:rPr>
        <w:t>（四）比选申请人信誉情况</w:t>
      </w:r>
    </w:p>
    <w:p w14:paraId="4297D627">
      <w:pPr>
        <w:spacing w:before="63" w:line="224" w:lineRule="auto"/>
        <w:ind w:left="2651"/>
        <w:rPr>
          <w:rFonts w:ascii="宋体" w:hAnsi="宋体" w:cs="宋体"/>
          <w:spacing w:val="16"/>
          <w:sz w:val="31"/>
          <w:szCs w:val="31"/>
          <w14:textOutline w14:w="5791" w14:cap="sq" w14:cmpd="sng" w14:algn="ctr">
            <w14:solidFill>
              <w14:srgbClr w14:val="000000"/>
            </w14:solidFill>
            <w14:prstDash w14:val="solid"/>
            <w14:bevel/>
          </w14:textOutline>
        </w:rPr>
      </w:pPr>
    </w:p>
    <w:p w14:paraId="3C4E8AF5">
      <w:pPr>
        <w:spacing w:line="307" w:lineRule="auto"/>
        <w:rPr>
          <w:rFonts w:ascii="Arial"/>
        </w:rPr>
      </w:pPr>
    </w:p>
    <w:p w14:paraId="1F310309">
      <w:pPr>
        <w:adjustRightInd w:val="0"/>
        <w:snapToGrid w:val="0"/>
        <w:spacing w:line="360" w:lineRule="auto"/>
        <w:ind w:firstLine="420"/>
        <w:rPr>
          <w:rFonts w:ascii="宋体" w:hAnsi="宋体" w:cs="宋体"/>
          <w:color w:val="000000"/>
          <w:szCs w:val="21"/>
        </w:rPr>
      </w:pPr>
      <w:r>
        <w:rPr>
          <w:rFonts w:hint="eastAsia" w:ascii="宋体" w:hAnsi="宋体" w:cs="宋体"/>
          <w:color w:val="000000"/>
          <w:szCs w:val="21"/>
        </w:rPr>
        <w:t>在此附上：</w:t>
      </w:r>
    </w:p>
    <w:p w14:paraId="0052B6BD">
      <w:pPr>
        <w:spacing w:line="360" w:lineRule="auto"/>
        <w:ind w:firstLine="48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.国家企业信用信息公示系统（http//www.gsxt.gov.cn）严重违法失信企业名单查询网页信息资料（黑白或彩色），并加盖比选申请人单位电子印章；</w:t>
      </w:r>
    </w:p>
    <w:p w14:paraId="1A20A36F">
      <w:pPr>
        <w:spacing w:line="360" w:lineRule="auto"/>
        <w:ind w:firstLine="48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“信用中国”网站（http://www.creditchina.gov.cn/）查询“失信被执行人”链接“中国执行信息公开网（http://zxgk.court.gov.cn/shixin/）”中</w:t>
      </w:r>
      <w:r>
        <w:rPr>
          <w:rFonts w:hint="eastAsia" w:ascii="宋体" w:hAnsi="宋体" w:cs="宋体"/>
          <w:color w:val="000000"/>
          <w:szCs w:val="21"/>
        </w:rPr>
        <w:t>失信被执行人名单查询网页信息资料（黑白或彩色），并加盖比选申请人单位电子印章；</w:t>
      </w:r>
    </w:p>
    <w:p w14:paraId="0F841399">
      <w:pPr>
        <w:spacing w:line="360" w:lineRule="auto"/>
        <w:ind w:firstLine="480" w:firstLineChars="200"/>
        <w:rPr>
          <w:rFonts w:ascii="宋体" w:hAnsi="宋体" w:cs="宋体"/>
          <w:color w:val="000000"/>
          <w:szCs w:val="21"/>
        </w:rPr>
      </w:pPr>
      <w:r>
        <w:rPr>
          <w:rFonts w:hint="eastAsia" w:ascii="宋体" w:hAnsi="宋体" w:cs="宋体"/>
          <w:color w:val="000000"/>
          <w:szCs w:val="21"/>
        </w:rPr>
        <w:t>3.在20</w:t>
      </w:r>
      <w:r>
        <w:rPr>
          <w:rFonts w:ascii="宋体" w:hAnsi="宋体" w:cs="宋体"/>
          <w:color w:val="000000"/>
          <w:szCs w:val="21"/>
        </w:rPr>
        <w:t>21</w:t>
      </w:r>
      <w:r>
        <w:rPr>
          <w:rFonts w:hint="eastAsia" w:ascii="宋体" w:hAnsi="宋体" w:cs="宋体"/>
          <w:color w:val="000000"/>
          <w:szCs w:val="21"/>
        </w:rPr>
        <w:t>年9月1日至本项目比选申请截止日期间，比选申请人（单位）、法定代表人、试验室主任被人民法院生效判决或裁定认定为行贿犯罪的（包括行贿罪、单位行贿罪、对单位行贿罪、介绍贿赂罪等），不得参加比选申请（提供承诺函）。</w:t>
      </w:r>
    </w:p>
    <w:p w14:paraId="60B3F23B">
      <w:pPr>
        <w:adjustRightInd w:val="0"/>
        <w:snapToGrid w:val="0"/>
        <w:rPr>
          <w:rFonts w:ascii="宋体" w:hAnsi="宋体"/>
          <w:b/>
          <w:color w:val="000000"/>
          <w:sz w:val="28"/>
        </w:rPr>
      </w:pPr>
    </w:p>
    <w:p w14:paraId="50CB1B78">
      <w:pPr>
        <w:spacing w:before="2" w:line="380" w:lineRule="auto"/>
        <w:ind w:firstLine="430"/>
        <w:rPr>
          <w:rFonts w:ascii="宋体" w:hAnsi="宋体" w:cs="宋体"/>
          <w:spacing w:val="10"/>
        </w:rPr>
      </w:pPr>
    </w:p>
    <w:p w14:paraId="062E06AB">
      <w:pPr>
        <w:spacing w:before="2" w:line="380" w:lineRule="auto"/>
        <w:ind w:firstLine="430"/>
        <w:rPr>
          <w:rFonts w:ascii="宋体" w:hAnsi="宋体" w:cs="宋体"/>
          <w:spacing w:val="10"/>
        </w:rPr>
      </w:pPr>
    </w:p>
    <w:p w14:paraId="4DBC43C1">
      <w:pPr>
        <w:spacing w:before="2" w:line="380" w:lineRule="auto"/>
        <w:ind w:firstLine="430"/>
        <w:rPr>
          <w:rFonts w:ascii="宋体" w:hAnsi="宋体" w:cs="宋体"/>
          <w:spacing w:val="10"/>
        </w:rPr>
      </w:pPr>
    </w:p>
    <w:p w14:paraId="03C91AF3">
      <w:pPr>
        <w:spacing w:before="2" w:line="380" w:lineRule="auto"/>
        <w:ind w:firstLine="430"/>
        <w:rPr>
          <w:rFonts w:ascii="宋体" w:hAnsi="宋体" w:cs="宋体"/>
          <w:spacing w:val="10"/>
        </w:rPr>
      </w:pPr>
    </w:p>
    <w:p w14:paraId="7072E4C2">
      <w:pPr>
        <w:spacing w:before="2" w:line="380" w:lineRule="auto"/>
        <w:ind w:firstLine="430"/>
        <w:rPr>
          <w:rFonts w:ascii="宋体" w:hAnsi="宋体" w:cs="宋体"/>
          <w:spacing w:val="10"/>
        </w:rPr>
      </w:pPr>
    </w:p>
    <w:p w14:paraId="2D450188">
      <w:pPr>
        <w:spacing w:before="2" w:line="380" w:lineRule="auto"/>
        <w:ind w:firstLine="430"/>
        <w:rPr>
          <w:rFonts w:ascii="宋体" w:hAnsi="宋体" w:cs="宋体"/>
          <w:spacing w:val="10"/>
        </w:rPr>
      </w:pPr>
    </w:p>
    <w:p w14:paraId="170A3CCE">
      <w:pPr>
        <w:spacing w:before="2" w:line="380" w:lineRule="auto"/>
        <w:ind w:firstLine="430"/>
        <w:rPr>
          <w:rFonts w:ascii="宋体" w:hAnsi="宋体" w:cs="宋体"/>
          <w:spacing w:val="10"/>
        </w:rPr>
      </w:pPr>
    </w:p>
    <w:p w14:paraId="73E2C700">
      <w:pPr>
        <w:spacing w:before="2" w:line="380" w:lineRule="auto"/>
        <w:ind w:firstLine="430"/>
        <w:rPr>
          <w:rFonts w:ascii="宋体" w:hAnsi="宋体" w:cs="宋体"/>
          <w:spacing w:val="10"/>
        </w:rPr>
      </w:pPr>
    </w:p>
    <w:p w14:paraId="7E7E7ADB">
      <w:pPr>
        <w:spacing w:before="2" w:line="380" w:lineRule="auto"/>
        <w:ind w:firstLine="430"/>
        <w:rPr>
          <w:rFonts w:ascii="宋体" w:hAnsi="宋体" w:cs="宋体"/>
          <w:spacing w:val="10"/>
        </w:rPr>
      </w:pPr>
    </w:p>
    <w:p w14:paraId="777AA20C">
      <w:pPr>
        <w:spacing w:before="2" w:line="380" w:lineRule="auto"/>
        <w:ind w:firstLine="430"/>
        <w:rPr>
          <w:rFonts w:ascii="宋体" w:hAnsi="宋体" w:cs="宋体"/>
          <w:spacing w:val="10"/>
        </w:rPr>
      </w:pPr>
    </w:p>
    <w:p w14:paraId="25C94BC2">
      <w:pPr>
        <w:spacing w:before="2" w:line="380" w:lineRule="auto"/>
        <w:ind w:firstLine="430"/>
        <w:rPr>
          <w:rFonts w:ascii="宋体" w:hAnsi="宋体" w:cs="宋体"/>
          <w:spacing w:val="10"/>
        </w:rPr>
      </w:pPr>
    </w:p>
    <w:p w14:paraId="7301940E">
      <w:pPr>
        <w:spacing w:before="2" w:line="380" w:lineRule="auto"/>
        <w:ind w:firstLine="430"/>
        <w:rPr>
          <w:rFonts w:ascii="宋体" w:hAnsi="宋体" w:cs="宋体"/>
          <w:spacing w:val="10"/>
        </w:rPr>
      </w:pPr>
    </w:p>
    <w:p w14:paraId="34E2AF19">
      <w:pPr>
        <w:spacing w:before="2" w:line="380" w:lineRule="auto"/>
        <w:ind w:firstLine="430"/>
        <w:rPr>
          <w:rFonts w:ascii="宋体" w:hAnsi="宋体" w:cs="宋体"/>
          <w:spacing w:val="10"/>
        </w:rPr>
      </w:pPr>
    </w:p>
    <w:p w14:paraId="348BD232">
      <w:pPr>
        <w:spacing w:before="2" w:line="380" w:lineRule="auto"/>
        <w:ind w:firstLine="430"/>
        <w:rPr>
          <w:rFonts w:ascii="宋体" w:hAnsi="宋体" w:cs="宋体"/>
          <w:spacing w:val="10"/>
        </w:rPr>
      </w:pPr>
    </w:p>
    <w:p w14:paraId="2AD81567">
      <w:pPr>
        <w:spacing w:before="2" w:line="380" w:lineRule="auto"/>
        <w:ind w:firstLine="430"/>
        <w:rPr>
          <w:rFonts w:ascii="宋体" w:hAnsi="宋体" w:cs="宋体"/>
          <w:spacing w:val="10"/>
        </w:rPr>
      </w:pPr>
    </w:p>
    <w:p w14:paraId="493AFD29">
      <w:pPr>
        <w:pStyle w:val="2"/>
        <w:ind w:left="480" w:firstLine="560"/>
      </w:pPr>
    </w:p>
    <w:p w14:paraId="1CD4C5CF">
      <w:pPr>
        <w:spacing w:before="2" w:line="380" w:lineRule="auto"/>
        <w:ind w:firstLine="430"/>
        <w:rPr>
          <w:rFonts w:ascii="宋体" w:hAnsi="宋体" w:cs="宋体"/>
          <w:spacing w:val="10"/>
        </w:rPr>
      </w:pPr>
    </w:p>
    <w:p w14:paraId="4222C730">
      <w:pPr>
        <w:adjustRightInd w:val="0"/>
        <w:snapToGrid w:val="0"/>
        <w:jc w:val="center"/>
        <w:rPr>
          <w:rFonts w:ascii="宋体" w:hAnsi="宋体"/>
          <w:b/>
          <w:color w:val="000000"/>
          <w:sz w:val="28"/>
          <w:szCs w:val="28"/>
        </w:rPr>
      </w:pPr>
      <w:r>
        <w:rPr>
          <w:rFonts w:ascii="宋体" w:hAnsi="宋体"/>
          <w:b/>
          <w:color w:val="000000"/>
          <w:sz w:val="28"/>
          <w:szCs w:val="28"/>
        </w:rPr>
        <w:t>无行贿犯罪的承诺函</w:t>
      </w:r>
    </w:p>
    <w:p w14:paraId="158554E5">
      <w:pPr>
        <w:adjustRightInd w:val="0"/>
        <w:snapToGrid w:val="0"/>
        <w:spacing w:line="460" w:lineRule="exact"/>
        <w:rPr>
          <w:rFonts w:ascii="宋体" w:hAnsi="宋体"/>
          <w:color w:val="000000"/>
        </w:rPr>
      </w:pPr>
    </w:p>
    <w:p w14:paraId="2FBF1865">
      <w:pPr>
        <w:adjustRightInd w:val="0"/>
        <w:snapToGrid w:val="0"/>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比选申请</w:t>
      </w:r>
      <w:r>
        <w:rPr>
          <w:rFonts w:ascii="宋体" w:hAnsi="宋体"/>
          <w:color w:val="000000"/>
          <w:szCs w:val="21"/>
          <w:u w:val="single"/>
        </w:rPr>
        <w:t xml:space="preserve">人名称）   </w:t>
      </w:r>
      <w:r>
        <w:rPr>
          <w:rFonts w:ascii="宋体" w:hAnsi="宋体"/>
          <w:color w:val="000000"/>
          <w:szCs w:val="21"/>
        </w:rPr>
        <w:t>：</w:t>
      </w:r>
    </w:p>
    <w:p w14:paraId="0618CCBA">
      <w:pPr>
        <w:spacing w:before="2" w:line="380" w:lineRule="auto"/>
        <w:ind w:firstLine="430"/>
        <w:rPr>
          <w:rFonts w:ascii="宋体" w:hAnsi="宋体" w:cs="宋体"/>
          <w:spacing w:val="10"/>
        </w:rPr>
      </w:pPr>
    </w:p>
    <w:p w14:paraId="4FD4F6B5">
      <w:pPr>
        <w:spacing w:before="2" w:line="380" w:lineRule="auto"/>
        <w:ind w:firstLine="430"/>
        <w:rPr>
          <w:rFonts w:ascii="宋体" w:hAnsi="宋体" w:cs="宋体"/>
        </w:rPr>
      </w:pPr>
      <w:r>
        <w:rPr>
          <w:rFonts w:ascii="宋体" w:hAnsi="宋体" w:cs="宋体"/>
          <w:spacing w:val="8"/>
        </w:rPr>
        <w:t>我</w:t>
      </w:r>
      <w:r>
        <w:rPr>
          <w:rFonts w:ascii="宋体" w:hAnsi="宋体" w:cs="宋体"/>
          <w:spacing w:val="5"/>
        </w:rPr>
        <w:t>单位</w:t>
      </w:r>
      <w:r>
        <w:rPr>
          <w:rFonts w:ascii="宋体" w:hAnsi="宋体" w:cs="宋体"/>
          <w:spacing w:val="5"/>
          <w:u w:val="single"/>
        </w:rPr>
        <w:t xml:space="preserve">    (</w:t>
      </w:r>
      <w:r>
        <w:rPr>
          <w:rFonts w:hint="eastAsia" w:ascii="宋体" w:hAnsi="宋体" w:cs="宋体"/>
          <w:spacing w:val="5"/>
          <w:u w:val="single"/>
        </w:rPr>
        <w:t>比选申请</w:t>
      </w:r>
      <w:r>
        <w:rPr>
          <w:rFonts w:ascii="宋体" w:hAnsi="宋体" w:cs="宋体"/>
          <w:spacing w:val="5"/>
          <w:u w:val="single"/>
        </w:rPr>
        <w:t xml:space="preserve">人名称)     (统一社会信用代码)  </w:t>
      </w:r>
      <w:r>
        <w:rPr>
          <w:rFonts w:ascii="宋体" w:hAnsi="宋体" w:cs="宋体"/>
          <w:spacing w:val="5"/>
        </w:rPr>
        <w:t xml:space="preserve"> 、法定代表人</w:t>
      </w:r>
      <w:r>
        <w:rPr>
          <w:rFonts w:ascii="宋体" w:hAnsi="宋体" w:cs="宋体"/>
          <w:spacing w:val="5"/>
          <w:u w:val="single"/>
        </w:rPr>
        <w:t xml:space="preserve">   (姓名)     (身</w:t>
      </w:r>
      <w:r>
        <w:rPr>
          <w:rFonts w:ascii="宋体" w:hAnsi="宋体" w:cs="宋体"/>
        </w:rPr>
        <w:t xml:space="preserve"> </w:t>
      </w:r>
      <w:r>
        <w:rPr>
          <w:rFonts w:ascii="宋体" w:hAnsi="宋体" w:cs="宋体"/>
          <w:spacing w:val="1"/>
          <w:u w:val="single"/>
        </w:rPr>
        <w:t xml:space="preserve">份证号) 、  </w:t>
      </w:r>
      <w:r>
        <w:rPr>
          <w:rFonts w:hint="eastAsia" w:ascii="宋体" w:hAnsi="宋体" w:cs="宋体"/>
          <w:spacing w:val="1"/>
          <w:u w:val="single"/>
        </w:rPr>
        <w:t>试验室主任</w:t>
      </w:r>
      <w:r>
        <w:rPr>
          <w:rFonts w:ascii="宋体" w:hAnsi="宋体" w:cs="宋体"/>
          <w:spacing w:val="1"/>
          <w:u w:val="single"/>
        </w:rPr>
        <w:t xml:space="preserve">(姓名)     </w:t>
      </w:r>
      <w:r>
        <w:rPr>
          <w:rFonts w:hint="eastAsia" w:ascii="宋体" w:hAnsi="宋体" w:cs="宋体"/>
          <w:spacing w:val="1"/>
          <w:u w:val="single"/>
        </w:rPr>
        <w:t xml:space="preserve">   </w:t>
      </w:r>
      <w:r>
        <w:rPr>
          <w:rFonts w:ascii="宋体" w:hAnsi="宋体" w:cs="宋体"/>
          <w:spacing w:val="1"/>
          <w:u w:val="single"/>
        </w:rPr>
        <w:t xml:space="preserve">(身份证号) 在  </w:t>
      </w:r>
      <w:r>
        <w:rPr>
          <w:rFonts w:hint="eastAsia" w:ascii="宋体" w:hAnsi="宋体" w:cs="宋体"/>
          <w:spacing w:val="1"/>
          <w:u w:val="single"/>
        </w:rPr>
        <w:t xml:space="preserve"> </w:t>
      </w:r>
      <w:r>
        <w:rPr>
          <w:rFonts w:ascii="宋体" w:hAnsi="宋体" w:cs="宋体"/>
          <w:spacing w:val="1"/>
          <w:u w:val="single"/>
        </w:rPr>
        <w:t xml:space="preserve"> </w:t>
      </w:r>
      <w:r>
        <w:rPr>
          <w:rFonts w:ascii="宋体" w:hAnsi="宋体" w:cs="宋体"/>
          <w:spacing w:val="1"/>
        </w:rPr>
        <w:t xml:space="preserve"> 年</w:t>
      </w:r>
      <w:r>
        <w:rPr>
          <w:rFonts w:hint="eastAsia" w:ascii="宋体" w:hAnsi="宋体" w:cs="宋体"/>
          <w:spacing w:val="1"/>
          <w:u w:val="single"/>
        </w:rPr>
        <w:t xml:space="preserve"> </w:t>
      </w:r>
      <w:r>
        <w:rPr>
          <w:rFonts w:ascii="宋体" w:hAnsi="宋体" w:cs="宋体"/>
          <w:spacing w:val="1"/>
          <w:u w:val="single"/>
        </w:rPr>
        <w:t xml:space="preserve">  </w:t>
      </w:r>
      <w:r>
        <w:rPr>
          <w:rFonts w:ascii="宋体" w:hAnsi="宋体" w:cs="宋体"/>
          <w:u w:val="single"/>
        </w:rPr>
        <w:t xml:space="preserve"> </w:t>
      </w:r>
      <w:r>
        <w:rPr>
          <w:rFonts w:ascii="宋体" w:hAnsi="宋体" w:cs="宋体"/>
        </w:rPr>
        <w:t xml:space="preserve"> 月</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日至本项目</w:t>
      </w:r>
      <w:r>
        <w:rPr>
          <w:rFonts w:hint="eastAsia" w:ascii="宋体" w:hAnsi="宋体" w:cs="宋体"/>
        </w:rPr>
        <w:t>比选申请</w:t>
      </w:r>
      <w:r>
        <w:rPr>
          <w:rFonts w:ascii="宋体" w:hAnsi="宋体" w:cs="宋体"/>
        </w:rPr>
        <w:t>截止日期前</w:t>
      </w:r>
      <w:r>
        <w:rPr>
          <w:rFonts w:ascii="宋体" w:hAnsi="宋体" w:cs="宋体"/>
          <w:spacing w:val="14"/>
        </w:rPr>
        <w:t>一</w:t>
      </w:r>
      <w:r>
        <w:rPr>
          <w:rFonts w:ascii="宋体" w:hAnsi="宋体" w:cs="宋体"/>
          <w:spacing w:val="10"/>
        </w:rPr>
        <w:t>天，没有被人民法院生效判决或裁定认定行贿等犯罪 (包括行贿罪、单位行贿罪、对单位行贿</w:t>
      </w:r>
      <w:r>
        <w:rPr>
          <w:rFonts w:ascii="宋体" w:hAnsi="宋体" w:cs="宋体"/>
          <w:spacing w:val="14"/>
        </w:rPr>
        <w:t>罪</w:t>
      </w:r>
      <w:r>
        <w:rPr>
          <w:rFonts w:ascii="宋体" w:hAnsi="宋体" w:cs="宋体"/>
          <w:spacing w:val="10"/>
        </w:rPr>
        <w:t>、介绍贿赂罪等) 。若在</w:t>
      </w:r>
      <w:r>
        <w:rPr>
          <w:rFonts w:hint="eastAsia" w:ascii="宋体" w:hAnsi="宋体" w:cs="宋体"/>
          <w:spacing w:val="10"/>
        </w:rPr>
        <w:t>中选</w:t>
      </w:r>
      <w:r>
        <w:rPr>
          <w:rFonts w:ascii="宋体" w:hAnsi="宋体" w:cs="宋体"/>
          <w:spacing w:val="10"/>
        </w:rPr>
        <w:t>合同签订之前发现我单位或法定代表人或</w:t>
      </w:r>
      <w:r>
        <w:rPr>
          <w:rFonts w:hint="eastAsia" w:ascii="宋体" w:hAnsi="宋体" w:cs="宋体"/>
          <w:spacing w:val="10"/>
          <w:lang w:eastAsia="zh-CN"/>
        </w:rPr>
        <w:t>试验室主任</w:t>
      </w:r>
      <w:r>
        <w:rPr>
          <w:rFonts w:ascii="宋体" w:hAnsi="宋体" w:cs="宋体"/>
          <w:spacing w:val="10"/>
        </w:rPr>
        <w:t>在上述期间</w:t>
      </w:r>
      <w:r>
        <w:rPr>
          <w:rFonts w:ascii="宋体" w:hAnsi="宋体" w:cs="宋体"/>
        </w:rPr>
        <w:t xml:space="preserve"> </w:t>
      </w:r>
      <w:r>
        <w:rPr>
          <w:rFonts w:ascii="宋体" w:hAnsi="宋体" w:cs="宋体"/>
          <w:spacing w:val="20"/>
        </w:rPr>
        <w:t>存</w:t>
      </w:r>
      <w:r>
        <w:rPr>
          <w:rFonts w:ascii="宋体" w:hAnsi="宋体" w:cs="宋体"/>
          <w:spacing w:val="14"/>
        </w:rPr>
        <w:t>在</w:t>
      </w:r>
      <w:r>
        <w:rPr>
          <w:rFonts w:ascii="宋体" w:hAnsi="宋体" w:cs="宋体"/>
          <w:spacing w:val="10"/>
        </w:rPr>
        <w:t>犯行贿罪的，可取消我单位</w:t>
      </w:r>
      <w:r>
        <w:rPr>
          <w:rFonts w:hint="eastAsia" w:ascii="宋体" w:hAnsi="宋体" w:cs="宋体"/>
          <w:spacing w:val="10"/>
        </w:rPr>
        <w:t>中选</w:t>
      </w:r>
      <w:r>
        <w:rPr>
          <w:rFonts w:ascii="宋体" w:hAnsi="宋体" w:cs="宋体"/>
          <w:spacing w:val="10"/>
        </w:rPr>
        <w:t>候选人或</w:t>
      </w:r>
      <w:r>
        <w:rPr>
          <w:rFonts w:hint="eastAsia" w:ascii="宋体" w:hAnsi="宋体" w:cs="宋体"/>
          <w:spacing w:val="10"/>
        </w:rPr>
        <w:t>中选</w:t>
      </w:r>
      <w:r>
        <w:rPr>
          <w:rFonts w:ascii="宋体" w:hAnsi="宋体" w:cs="宋体"/>
          <w:spacing w:val="10"/>
        </w:rPr>
        <w:t>人资格。若在合同执行期间发现我单位或法定</w:t>
      </w:r>
      <w:r>
        <w:rPr>
          <w:rFonts w:ascii="宋体" w:hAnsi="宋体" w:cs="宋体"/>
          <w:spacing w:val="24"/>
        </w:rPr>
        <w:t>代</w:t>
      </w:r>
      <w:r>
        <w:rPr>
          <w:rFonts w:ascii="宋体" w:hAnsi="宋体" w:cs="宋体"/>
          <w:spacing w:val="18"/>
        </w:rPr>
        <w:t>表</w:t>
      </w:r>
      <w:r>
        <w:rPr>
          <w:rFonts w:ascii="宋体" w:hAnsi="宋体" w:cs="宋体"/>
          <w:spacing w:val="12"/>
        </w:rPr>
        <w:t>人或</w:t>
      </w:r>
      <w:r>
        <w:rPr>
          <w:rFonts w:hint="eastAsia" w:ascii="宋体" w:hAnsi="宋体" w:cs="宋体"/>
          <w:spacing w:val="12"/>
          <w:lang w:eastAsia="zh-CN"/>
        </w:rPr>
        <w:t>试验室主任</w:t>
      </w:r>
      <w:r>
        <w:rPr>
          <w:rFonts w:ascii="宋体" w:hAnsi="宋体" w:cs="宋体"/>
          <w:spacing w:val="12"/>
        </w:rPr>
        <w:t xml:space="preserve">在上述期间存在行贿犯罪的，可从合同款中扣除签约合同价的 </w:t>
      </w:r>
      <w:r>
        <w:rPr>
          <w:rFonts w:ascii="宋体" w:hAnsi="宋体" w:cs="宋体"/>
          <w:spacing w:val="12"/>
          <w:u w:val="single"/>
        </w:rPr>
        <w:t>5%</w:t>
      </w:r>
      <w:r>
        <w:rPr>
          <w:rFonts w:ascii="宋体" w:hAnsi="宋体" w:cs="宋体"/>
          <w:spacing w:val="12"/>
        </w:rPr>
        <w:t>作为违约</w:t>
      </w:r>
      <w:r>
        <w:rPr>
          <w:rFonts w:ascii="宋体" w:hAnsi="宋体" w:cs="宋体"/>
          <w:spacing w:val="1"/>
        </w:rPr>
        <w:t>金</w:t>
      </w:r>
      <w:r>
        <w:rPr>
          <w:rFonts w:ascii="宋体" w:hAnsi="宋体" w:cs="宋体"/>
        </w:rPr>
        <w:t>。</w:t>
      </w:r>
    </w:p>
    <w:p w14:paraId="5F4FFE06">
      <w:pPr>
        <w:spacing w:line="475" w:lineRule="auto"/>
        <w:rPr>
          <w:rFonts w:ascii="Arial"/>
        </w:rPr>
      </w:pPr>
    </w:p>
    <w:p w14:paraId="47C50CEF">
      <w:pPr>
        <w:spacing w:before="65" w:line="227" w:lineRule="auto"/>
        <w:ind w:left="3468"/>
        <w:rPr>
          <w:rFonts w:ascii="宋体" w:hAnsi="宋体" w:cs="宋体"/>
          <w:spacing w:val="-8"/>
        </w:rPr>
      </w:pPr>
    </w:p>
    <w:p w14:paraId="67730C20">
      <w:pPr>
        <w:spacing w:before="65" w:line="227" w:lineRule="auto"/>
        <w:ind w:left="3468"/>
        <w:rPr>
          <w:rFonts w:ascii="宋体" w:hAnsi="宋体" w:cs="宋体"/>
        </w:rPr>
      </w:pPr>
      <w:r>
        <w:rPr>
          <w:rFonts w:hint="eastAsia" w:ascii="宋体" w:hAnsi="宋体" w:cs="宋体"/>
          <w:spacing w:val="-8"/>
        </w:rPr>
        <w:t>比选申请</w:t>
      </w:r>
      <w:r>
        <w:rPr>
          <w:rFonts w:ascii="宋体" w:hAnsi="宋体" w:cs="宋体"/>
          <w:spacing w:val="-4"/>
        </w:rPr>
        <w:t>人：</w:t>
      </w:r>
      <w:r>
        <w:rPr>
          <w:rFonts w:ascii="宋体" w:hAnsi="宋体" w:cs="宋体"/>
          <w:spacing w:val="-4"/>
          <w:u w:val="single"/>
        </w:rPr>
        <w:t xml:space="preserve">          </w:t>
      </w:r>
      <w:r>
        <w:rPr>
          <w:rFonts w:ascii="宋体" w:hAnsi="宋体" w:cs="宋体"/>
          <w:spacing w:val="-4"/>
        </w:rPr>
        <w:t>(盖单位章)</w:t>
      </w:r>
    </w:p>
    <w:p w14:paraId="053A77FD">
      <w:pPr>
        <w:spacing w:before="212" w:line="228" w:lineRule="auto"/>
        <w:ind w:left="3467"/>
        <w:rPr>
          <w:rFonts w:ascii="宋体" w:hAnsi="宋体" w:cs="宋体"/>
        </w:rPr>
      </w:pPr>
      <w:r>
        <w:rPr>
          <w:rFonts w:ascii="宋体" w:hAnsi="宋体" w:cs="宋体"/>
          <w:spacing w:val="-2"/>
        </w:rPr>
        <w:t>法人代表或委托代理人：</w:t>
      </w:r>
      <w:r>
        <w:rPr>
          <w:rFonts w:ascii="宋体" w:hAnsi="宋体" w:cs="宋体"/>
          <w:spacing w:val="-2"/>
          <w:u w:val="single"/>
        </w:rPr>
        <w:t xml:space="preserve"> </w:t>
      </w:r>
      <w:r>
        <w:rPr>
          <w:rFonts w:ascii="宋体" w:hAnsi="宋体" w:cs="宋体"/>
          <w:spacing w:val="-1"/>
          <w:u w:val="single"/>
        </w:rPr>
        <w:t xml:space="preserve">    </w:t>
      </w:r>
      <w:r>
        <w:rPr>
          <w:rFonts w:hint="eastAsia" w:ascii="宋体" w:hAnsi="宋体" w:cs="宋体"/>
          <w:spacing w:val="-1"/>
          <w:u w:val="single"/>
        </w:rPr>
        <w:t xml:space="preserve"> </w:t>
      </w:r>
      <w:r>
        <w:rPr>
          <w:rFonts w:ascii="宋体" w:hAnsi="宋体" w:cs="宋体"/>
          <w:spacing w:val="-1"/>
          <w:u w:val="single"/>
        </w:rPr>
        <w:t xml:space="preserve">   </w:t>
      </w:r>
      <w:r>
        <w:rPr>
          <w:rFonts w:ascii="宋体" w:hAnsi="宋体" w:cs="宋体"/>
          <w:spacing w:val="-1"/>
        </w:rPr>
        <w:t>(签字)</w:t>
      </w:r>
    </w:p>
    <w:p w14:paraId="24BF862F">
      <w:pPr>
        <w:spacing w:before="214" w:line="228" w:lineRule="auto"/>
        <w:ind w:left="3502"/>
        <w:rPr>
          <w:rFonts w:ascii="宋体" w:hAnsi="宋体" w:cs="宋体"/>
        </w:rPr>
      </w:pPr>
      <w:r>
        <w:rPr>
          <w:rFonts w:ascii="宋体" w:hAnsi="宋体" w:cs="宋体"/>
          <w:spacing w:val="1"/>
        </w:rPr>
        <w:t xml:space="preserve">日 期：      年    月   </w:t>
      </w:r>
      <w:r>
        <w:rPr>
          <w:rFonts w:ascii="宋体" w:hAnsi="宋体" w:cs="宋体"/>
        </w:rPr>
        <w:t xml:space="preserve"> 日</w:t>
      </w:r>
    </w:p>
    <w:p w14:paraId="08FA30D8">
      <w:pPr>
        <w:spacing w:line="293" w:lineRule="auto"/>
        <w:rPr>
          <w:rFonts w:ascii="Arial"/>
        </w:rPr>
      </w:pPr>
    </w:p>
    <w:p w14:paraId="68BE3DBF">
      <w:pPr>
        <w:spacing w:line="294" w:lineRule="auto"/>
        <w:rPr>
          <w:rFonts w:ascii="Arial"/>
        </w:rPr>
      </w:pPr>
    </w:p>
    <w:p w14:paraId="02C76475">
      <w:r>
        <w:br w:type="page"/>
      </w:r>
    </w:p>
    <w:p w14:paraId="5FCDD034">
      <w:pPr>
        <w:pStyle w:val="6"/>
      </w:pPr>
      <w:r>
        <w:t>四、</w:t>
      </w:r>
      <w:r>
        <w:rPr>
          <w:rFonts w:hint="eastAsia"/>
        </w:rPr>
        <w:t>技术建议书</w:t>
      </w:r>
    </w:p>
    <w:p w14:paraId="6D4D7EBB">
      <w:pPr>
        <w:rPr>
          <w:rStyle w:val="41"/>
          <w:rFonts w:ascii="宋体" w:hAnsi="宋体"/>
        </w:rPr>
      </w:pPr>
    </w:p>
    <w:p w14:paraId="59E15525">
      <w:pPr>
        <w:pStyle w:val="26"/>
        <w:ind w:firstLine="480"/>
        <w:rPr>
          <w:rFonts w:hint="default"/>
        </w:rPr>
      </w:pPr>
      <w:r>
        <w:t>一、监理试验室大纲和措施</w:t>
      </w:r>
    </w:p>
    <w:p w14:paraId="5D53C091">
      <w:pPr>
        <w:pStyle w:val="26"/>
        <w:ind w:firstLine="480"/>
        <w:rPr>
          <w:rFonts w:hint="default"/>
        </w:rPr>
      </w:pPr>
      <w:r>
        <w:t xml:space="preserve"> 二、本工程监理试验室的重点与难点分析 </w:t>
      </w:r>
    </w:p>
    <w:p w14:paraId="72640347">
      <w:pPr>
        <w:pStyle w:val="26"/>
        <w:ind w:firstLine="480"/>
        <w:rPr>
          <w:rFonts w:hint="default"/>
        </w:rPr>
      </w:pPr>
      <w:r>
        <w:t>三、针对本项目特点的工作建议</w:t>
      </w:r>
    </w:p>
    <w:p w14:paraId="7BDFD151">
      <w:pPr>
        <w:rPr>
          <w:rStyle w:val="41"/>
          <w:rFonts w:ascii="宋体" w:hAnsi="宋体"/>
        </w:rPr>
      </w:pPr>
    </w:p>
    <w:p w14:paraId="0ACAB70B">
      <w:pPr>
        <w:rPr>
          <w:rStyle w:val="41"/>
          <w:rFonts w:ascii="宋体" w:hAnsi="宋体"/>
        </w:rPr>
      </w:pPr>
    </w:p>
    <w:p w14:paraId="0D43BB17">
      <w:pPr>
        <w:rPr>
          <w:rStyle w:val="41"/>
          <w:rFonts w:ascii="宋体" w:hAnsi="宋体"/>
        </w:rPr>
      </w:pPr>
    </w:p>
    <w:p w14:paraId="4F6B5369">
      <w:pPr>
        <w:rPr>
          <w:rStyle w:val="41"/>
          <w:rFonts w:ascii="宋体" w:hAnsi="宋体"/>
        </w:rPr>
      </w:pPr>
    </w:p>
    <w:p w14:paraId="03D48EF3">
      <w:pPr>
        <w:rPr>
          <w:rStyle w:val="41"/>
          <w:rFonts w:ascii="宋体" w:hAnsi="宋体"/>
        </w:rPr>
      </w:pPr>
    </w:p>
    <w:p w14:paraId="33F3BEB6">
      <w:pPr>
        <w:rPr>
          <w:rStyle w:val="41"/>
          <w:rFonts w:ascii="宋体" w:hAnsi="宋体"/>
        </w:rPr>
      </w:pPr>
      <w:r>
        <w:rPr>
          <w:rStyle w:val="41"/>
          <w:rFonts w:ascii="宋体" w:hAnsi="宋体"/>
        </w:rPr>
        <w:br w:type="page"/>
      </w:r>
    </w:p>
    <w:p w14:paraId="5C4D973E">
      <w:pPr>
        <w:pStyle w:val="6"/>
      </w:pPr>
      <w:r>
        <w:t>五、其他资料</w:t>
      </w:r>
      <w:r>
        <w:rPr>
          <w:rFonts w:hint="eastAsia"/>
        </w:rPr>
        <w:t>（如有）</w:t>
      </w:r>
    </w:p>
    <w:p w14:paraId="1DC47A25">
      <w:pPr>
        <w:tabs>
          <w:tab w:val="left" w:pos="1107"/>
        </w:tabs>
        <w:rPr>
          <w:b/>
          <w:bCs/>
        </w:rPr>
      </w:pPr>
    </w:p>
    <w:sectPr>
      <w:footerReference r:id="rId21" w:type="default"/>
      <w:pgSz w:w="11906" w:h="16840"/>
      <w:pgMar w:top="1100" w:right="920" w:bottom="1040" w:left="1360" w:header="878" w:footer="855"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7D53">
    <w:pPr>
      <w:pStyle w:val="13"/>
      <w:rPr>
        <w:rStyle w:val="41"/>
      </w:rPr>
    </w:pPr>
  </w:p>
  <w:p w14:paraId="41D0F22A">
    <w:pPr>
      <w:pStyle w:val="13"/>
      <w:rPr>
        <w:rStyle w:val="4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D7AE">
    <w:pPr>
      <w:spacing w:line="200" w:lineRule="exact"/>
      <w:rPr>
        <w:rStyle w:val="41"/>
        <w:rFonts w:eastAsia="Times New Roman"/>
        <w:sz w:val="20"/>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39CF83">
                          <w:pPr>
                            <w:pStyle w:val="13"/>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MAEQcUBAACR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l5S4rjFiV++f7v8+HX5+ZUs&#10;q1fLLFEfoMbMu4C5aXjrB1yc2Q/ozMwHFW3+IieCcRT4fBVYDomI/Gi9Wq8rDAmMzRfEZw/PQ4T0&#10;TnpLstHQiBMswvLTB0hj6pySqzl/q40pUzTuLwdiZg/LvY89ZisN+2EitPftGfn0OPyGOtx1Ssx7&#10;h9rmPZmNOBv7ycg1ILw5Jixc+smoI9RUDCdVGE1blVfhz3vJevi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jABEHFAQAAkQMAAA4AAAAAAAAAAQAgAAAAHgEAAGRycy9lMm9Eb2MueG1s&#10;UEsFBgAAAAAGAAYAWQEAAFUFAAAAAA==&#10;">
              <v:fill on="f" focussize="0,0"/>
              <v:stroke on="f"/>
              <v:imagedata o:title=""/>
              <o:lock v:ext="edit" aspectratio="f"/>
              <v:textbox inset="0mm,0mm,0mm,0mm" style="mso-fit-shape-to-text:t;">
                <w:txbxContent>
                  <w:p w14:paraId="6039CF83">
                    <w:pPr>
                      <w:pStyle w:val="13"/>
                    </w:pPr>
                    <w:r>
                      <w:fldChar w:fldCharType="begin"/>
                    </w:r>
                    <w:r>
                      <w:instrText xml:space="preserve"> PAGE  \* MERGEFORMAT </w:instrText>
                    </w:r>
                    <w:r>
                      <w:fldChar w:fldCharType="separate"/>
                    </w:r>
                    <w:r>
                      <w:t>55</w:t>
                    </w:r>
                    <w:r>
                      <w:fldChar w:fldCharType="end"/>
                    </w:r>
                  </w:p>
                </w:txbxContent>
              </v:textbox>
            </v:shape>
          </w:pict>
        </mc:Fallback>
      </mc:AlternateContent>
    </w:r>
    <w:r>
      <w:rPr>
        <w:rStyle w:val="41"/>
      </w:rPr>
      <mc:AlternateContent>
        <mc:Choice Requires="wps">
          <w:drawing>
            <wp:anchor distT="0" distB="0" distL="114300" distR="114300" simplePos="0" relativeHeight="251664384"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4A203953">
                          <w:pPr>
                            <w:pStyle w:val="55"/>
                            <w:spacing w:line="234" w:lineRule="exact"/>
                            <w:ind w:left="40"/>
                            <w:rPr>
                              <w:rStyle w:val="41"/>
                              <w:rFonts w:ascii="Times New Roman"/>
                            </w:rPr>
                          </w:pPr>
                        </w:p>
                        <w:p w14:paraId="0659A0F2">
                          <w:pPr>
                            <w:ind w:left="20"/>
                            <w:rPr>
                              <w:rStyle w:val="41"/>
                            </w:rPr>
                          </w:pPr>
                        </w:p>
                      </w:txbxContent>
                    </wps:txbx>
                    <wps:bodyPr lIns="0" tIns="0" rIns="0" bIns="0" upright="1"/>
                  </wps:wsp>
                </a:graphicData>
              </a:graphic>
            </wp:anchor>
          </w:drawing>
        </mc:Choice>
        <mc:Fallback>
          <w:pict>
            <v:shape id="文本框 1034" o:spid="_x0000_s1026" o:spt="202" type="#_x0000_t202" style="position:absolute;left:0pt;margin-left:289.95pt;margin-top:788.15pt;height:12.45pt;width:14.5pt;mso-position-horizontal-relative:page;mso-position-vertical-relative:page;z-index:-251652096;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ojrq7aAAAADQEAAA8AAAAAAAAAAQAgAAAAIgAAAGRycy9kb3ducmV2LnhtbFBL&#10;AQIUABQAAAAIAIdO4kBtN2vPuwEAAHQDAAAOAAAAAAAAAAEAIAAAACkBAABkcnMvZTJvRG9jLnht&#10;bFBLBQYAAAAABgAGAFkBAABWBQAAAAA=&#10;">
              <v:fill on="f" focussize="0,0"/>
              <v:stroke on="f"/>
              <v:imagedata o:title=""/>
              <o:lock v:ext="edit" aspectratio="f"/>
              <v:textbox inset="0mm,0mm,0mm,0mm">
                <w:txbxContent>
                  <w:p w14:paraId="4A203953">
                    <w:pPr>
                      <w:pStyle w:val="55"/>
                      <w:spacing w:line="234" w:lineRule="exact"/>
                      <w:ind w:left="40"/>
                      <w:rPr>
                        <w:rStyle w:val="41"/>
                        <w:rFonts w:ascii="Times New Roman"/>
                      </w:rPr>
                    </w:pPr>
                  </w:p>
                  <w:p w14:paraId="0659A0F2">
                    <w:pPr>
                      <w:ind w:left="20"/>
                      <w:rPr>
                        <w:rStyle w:val="41"/>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C63D">
    <w:pPr>
      <w:spacing w:line="196" w:lineRule="auto"/>
      <w:ind w:left="4326"/>
      <w:rPr>
        <w:rFonts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FBDDF">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032FBDDF">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0E6D8">
    <w:pPr>
      <w:pStyle w:val="1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FC0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264FC0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p w14:paraId="1C426068">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9444B">
    <w:pPr>
      <w:spacing w:line="196" w:lineRule="auto"/>
      <w:ind w:left="4324"/>
      <w:rPr>
        <w:rFonts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1A8E9">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6F1A8E9">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B26D3">
    <w:pPr>
      <w:spacing w:line="193" w:lineRule="auto"/>
      <w:ind w:left="4348"/>
      <w:rPr>
        <w:rFonts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B47F5">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26FB47F5">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7F5A">
    <w:pPr>
      <w:spacing w:line="193" w:lineRule="auto"/>
      <w:ind w:left="4333"/>
      <w:rPr>
        <w:rFonts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8CD78">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0238CD78">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6607">
    <w:pPr>
      <w:spacing w:line="200" w:lineRule="exact"/>
      <w:rPr>
        <w:rStyle w:val="41"/>
        <w:rFonts w:eastAsia="Times New Roman"/>
        <w:sz w:val="20"/>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2C0A9D">
                          <w:pPr>
                            <w:pStyle w:val="13"/>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55"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S2M8UBAACRAwAADgAAAGRycy9lMm9Eb2MueG1srVPNjtMwEL4j8Q6W&#10;79RppYU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Xb2ixHGLE798/3b58evy8ytZ&#10;Vjc3WaI+QI2Z9wFz0/DGD7g4sx/QmZkPKtr8RU4E4yjw+SqwHBIR+dF6tV5XGBIYmy+Izx6ehwjp&#10;rfSWZKOhESdYhOWn95DG1DklV3P+ThtTpmjcXw7EzB6Wex97zFYa9sNEaO/bM/LpcfgNdbjrlJh3&#10;DrXNezIbcTb2k5FrQHh9TFi49JNRR6ipGE6qMJq2Kq/Cn/eS9fAnb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RUtjPFAQAAkQMAAA4AAAAAAAAAAQAgAAAAHgEAAGRycy9lMm9Eb2MueG1s&#10;UEsFBgAAAAAGAAYAWQEAAFUFAAAAAA==&#10;">
              <v:fill on="f" focussize="0,0"/>
              <v:stroke on="f"/>
              <v:imagedata o:title=""/>
              <o:lock v:ext="edit" aspectratio="f"/>
              <v:textbox inset="0mm,0mm,0mm,0mm" style="mso-fit-shape-to-text:t;">
                <w:txbxContent>
                  <w:p w14:paraId="7C2C0A9D">
                    <w:pPr>
                      <w:pStyle w:val="13"/>
                    </w:pPr>
                    <w:r>
                      <w:fldChar w:fldCharType="begin"/>
                    </w:r>
                    <w:r>
                      <w:instrText xml:space="preserve"> PAGE  \* MERGEFORMAT </w:instrText>
                    </w:r>
                    <w:r>
                      <w:fldChar w:fldCharType="separate"/>
                    </w:r>
                    <w:r>
                      <w:t>71</w:t>
                    </w:r>
                    <w:r>
                      <w:fldChar w:fldCharType="end"/>
                    </w:r>
                  </w:p>
                </w:txbxContent>
              </v:textbox>
            </v:shape>
          </w:pict>
        </mc:Fallback>
      </mc:AlternateContent>
    </w:r>
    <w:r>
      <w:rPr>
        <w:rStyle w:val="41"/>
      </w:rPr>
      <mc:AlternateContent>
        <mc:Choice Requires="wps">
          <w:drawing>
            <wp:anchor distT="0" distB="0" distL="114300" distR="114300" simplePos="0" relativeHeight="251666432"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16" name="文本框 1043"/>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5681C51A">
                          <w:pPr>
                            <w:pStyle w:val="55"/>
                            <w:spacing w:line="234" w:lineRule="exact"/>
                            <w:ind w:left="40"/>
                            <w:rPr>
                              <w:rStyle w:val="41"/>
                              <w:rFonts w:ascii="Times New Roman"/>
                            </w:rPr>
                          </w:pPr>
                        </w:p>
                        <w:p w14:paraId="78177E82">
                          <w:pPr>
                            <w:rPr>
                              <w:rStyle w:val="41"/>
                            </w:rPr>
                          </w:pPr>
                        </w:p>
                      </w:txbxContent>
                    </wps:txbx>
                    <wps:bodyPr lIns="0" tIns="0" rIns="0" bIns="0" upright="1"/>
                  </wps:wsp>
                </a:graphicData>
              </a:graphic>
            </wp:anchor>
          </w:drawing>
        </mc:Choice>
        <mc:Fallback>
          <w:pict>
            <v:shape id="文本框 1043" o:spid="_x0000_s1026" o:spt="202" type="#_x0000_t202" style="position:absolute;left:0pt;margin-left:289.95pt;margin-top:788.15pt;height:12.45pt;width:14.5pt;mso-position-horizontal-relative:page;mso-position-vertical-relative:page;z-index:-251650048;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I66u2gAAAA0BAAAPAAAAAAAAAAEAIAAAACIAAABkcnMvZG93bnJldi54bWxQ&#10;SwECFAAUAAAACACHTuJAHqESLrwBAAB1AwAADgAAAAAAAAABACAAAAApAQAAZHJzL2Uyb0RvYy54&#10;bWxQSwUGAAAAAAYABgBZAQAAVwUAAAAA&#10;">
              <v:fill on="f" focussize="0,0"/>
              <v:stroke on="f"/>
              <v:imagedata o:title=""/>
              <o:lock v:ext="edit" aspectratio="f"/>
              <v:textbox inset="0mm,0mm,0mm,0mm">
                <w:txbxContent>
                  <w:p w14:paraId="5681C51A">
                    <w:pPr>
                      <w:pStyle w:val="55"/>
                      <w:spacing w:line="234" w:lineRule="exact"/>
                      <w:ind w:left="40"/>
                      <w:rPr>
                        <w:rStyle w:val="41"/>
                        <w:rFonts w:ascii="Times New Roman"/>
                      </w:rPr>
                    </w:pPr>
                  </w:p>
                  <w:p w14:paraId="78177E82">
                    <w:pPr>
                      <w:rPr>
                        <w:rStyle w:val="4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8A7D5">
    <w:pPr>
      <w:pStyle w:val="13"/>
      <w:rPr>
        <w:rStyle w:val="41"/>
      </w:rPr>
    </w:pPr>
  </w:p>
  <w:p w14:paraId="75C20FD7">
    <w:pPr>
      <w:pStyle w:val="13"/>
      <w:rPr>
        <w:rStyle w:val="4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1EE09">
    <w:pPr>
      <w:pStyle w:val="13"/>
      <w:rPr>
        <w:rStyle w:val="41"/>
      </w:rPr>
    </w:pPr>
  </w:p>
  <w:p w14:paraId="0466CAE3">
    <w:pPr>
      <w:pStyle w:val="13"/>
      <w:rPr>
        <w:rStyle w:val="4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A9D6A">
    <w:pPr>
      <w:spacing w:line="200" w:lineRule="exact"/>
      <w:rPr>
        <w:rStyle w:val="41"/>
        <w:rFonts w:eastAsia="Times New Roman"/>
        <w:sz w:val="20"/>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37B206">
                          <w:pPr>
                            <w:pStyle w:val="13"/>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tk8L8QBAACR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y74xYnfvn+7fLj1+XnV7Ks&#10;Xr7KEvUBasy8C5ibhrd+wPTZD+jMzAcVbf4iJ4JxFPh8FVgOiYj8aL1arysMCYzNF8RnD89DhPRO&#10;ekuy0dCIEyzC8tMHSGPqnJKrOX+rjSlTNO4vB2JmD8u9jz1mKw37YSK09+0Z+fQ4/IY63HVKzHuH&#10;2uY9mY04G/vJyDUgvDkmLFz6yagj1FQMJ1UYTVuVV+HPe8l6+JO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6tk8L8QBAACRAwAADgAAAAAAAAABACAAAAAeAQAAZHJzL2Uyb0RvYy54bWxQ&#10;SwUGAAAAAAYABgBZAQAAVAUAAAAA&#10;">
              <v:fill on="f" focussize="0,0"/>
              <v:stroke on="f"/>
              <v:imagedata o:title=""/>
              <o:lock v:ext="edit" aspectratio="f"/>
              <v:textbox inset="0mm,0mm,0mm,0mm" style="mso-fit-shape-to-text:t;">
                <w:txbxContent>
                  <w:p w14:paraId="7B37B206">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rStyle w:val="41"/>
      </w:rPr>
      <mc:AlternateContent>
        <mc:Choice Requires="wps">
          <w:drawing>
            <wp:anchor distT="0" distB="0" distL="114300" distR="114300" simplePos="0" relativeHeight="251660288" behindDoc="1" locked="0" layoutInCell="0" allowOverlap="1">
              <wp:simplePos x="0" y="0"/>
              <wp:positionH relativeFrom="page">
                <wp:posOffset>3682365</wp:posOffset>
              </wp:positionH>
              <wp:positionV relativeFrom="page">
                <wp:posOffset>10009505</wp:posOffset>
              </wp:positionV>
              <wp:extent cx="233045" cy="15811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233045" cy="158115"/>
                      </a:xfrm>
                      <a:prstGeom prst="rect">
                        <a:avLst/>
                      </a:prstGeom>
                      <a:noFill/>
                      <a:ln>
                        <a:noFill/>
                      </a:ln>
                    </wps:spPr>
                    <wps:txbx>
                      <w:txbxContent>
                        <w:p w14:paraId="0E945189">
                          <w:pPr>
                            <w:pStyle w:val="55"/>
                            <w:spacing w:line="234" w:lineRule="exact"/>
                            <w:ind w:left="40"/>
                            <w:rPr>
                              <w:rStyle w:val="41"/>
                              <w:rFonts w:ascii="Times New Roman"/>
                            </w:rPr>
                          </w:pPr>
                        </w:p>
                        <w:p w14:paraId="3D613916">
                          <w:pPr>
                            <w:spacing w:line="180" w:lineRule="exact"/>
                            <w:ind w:left="20"/>
                            <w:rPr>
                              <w:rStyle w:val="41"/>
                            </w:rPr>
                          </w:pPr>
                        </w:p>
                      </w:txbxContent>
                    </wps:txbx>
                    <wps:bodyPr lIns="0" tIns="0" rIns="0" bIns="0" upright="1"/>
                  </wps:wsp>
                </a:graphicData>
              </a:graphic>
            </wp:anchor>
          </w:drawing>
        </mc:Choice>
        <mc:Fallback>
          <w:pict>
            <v:shape id="文本框 1028" o:spid="_x0000_s1026" o:spt="202" type="#_x0000_t202" style="position:absolute;left:0pt;margin-left:289.95pt;margin-top:788.15pt;height:12.45pt;width:18.35pt;mso-position-horizontal-relative:page;mso-position-vertical-relative:page;z-index:-251656192;mso-width-relative:page;mso-height-relative:page;" filled="f" stroked="f" coordsize="21600,21600" o:allowincell="f" o:gfxdata="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1U8dN2gAAAA0BAAAPAAAAAAAAAAEAIAAAACIAAABkcnMvZG93bnJldi54bWxQ&#10;SwECFAAUAAAACACHTuJARps6ObwBAAB0AwAADgAAAAAAAAABACAAAAApAQAAZHJzL2Uyb0RvYy54&#10;bWxQSwUGAAAAAAYABgBZAQAAVwUAAAAA&#10;">
              <v:fill on="f" focussize="0,0"/>
              <v:stroke on="f"/>
              <v:imagedata o:title=""/>
              <o:lock v:ext="edit" aspectratio="f"/>
              <v:textbox inset="0mm,0mm,0mm,0mm">
                <w:txbxContent>
                  <w:p w14:paraId="0E945189">
                    <w:pPr>
                      <w:pStyle w:val="55"/>
                      <w:spacing w:line="234" w:lineRule="exact"/>
                      <w:ind w:left="40"/>
                      <w:rPr>
                        <w:rStyle w:val="41"/>
                        <w:rFonts w:ascii="Times New Roman"/>
                      </w:rPr>
                    </w:pPr>
                  </w:p>
                  <w:p w14:paraId="3D613916">
                    <w:pPr>
                      <w:spacing w:line="180" w:lineRule="exact"/>
                      <w:ind w:left="20"/>
                      <w:rPr>
                        <w:rStyle w:val="4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9C7A7">
    <w:pPr>
      <w:spacing w:line="200" w:lineRule="exact"/>
      <w:rPr>
        <w:rStyle w:val="41"/>
        <w:rFonts w:eastAsia="Times New Roman"/>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02B74D">
                          <w:pPr>
                            <w:pStyle w:val="13"/>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4acQBAACR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lASxy1O/PL92+XHr8vPr2RZ&#10;vXydJeoD1Jh5FzA3DW/9gIsz+wGdmfmgos1f5EQwjmjnq8BySETkR+vVel1hSGBsviA+e3geIqR3&#10;0luSjYZGnGARlp8+QBpT55RczflbbUyZonF/ORAze1jufewxW2nYDxOhvW/PyKfH4TfU4a5TYt47&#10;1Bb7S7MRZ2M/GbkGhDfHhIVLPxl1hJqK4aQKo2mr8ir8eS9ZD3/S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t/4acQBAACRAwAADgAAAAAAAAABACAAAAAeAQAAZHJzL2Uyb0RvYy54bWxQ&#10;SwUGAAAAAAYABgBZAQAAVAUAAAAA&#10;">
              <v:fill on="f" focussize="0,0"/>
              <v:stroke on="f"/>
              <v:imagedata o:title=""/>
              <o:lock v:ext="edit" aspectratio="f"/>
              <v:textbox inset="0mm,0mm,0mm,0mm" style="mso-fit-shape-to-text:t;">
                <w:txbxContent>
                  <w:p w14:paraId="5002B74D">
                    <w:pPr>
                      <w:pStyle w:val="13"/>
                    </w:pPr>
                    <w:r>
                      <w:fldChar w:fldCharType="begin"/>
                    </w:r>
                    <w:r>
                      <w:instrText xml:space="preserve"> PAGE  \* MERGEFORMAT </w:instrText>
                    </w:r>
                    <w:r>
                      <w:fldChar w:fldCharType="separate"/>
                    </w:r>
                    <w:r>
                      <w:t>14</w:t>
                    </w:r>
                    <w:r>
                      <w:fldChar w:fldCharType="end"/>
                    </w:r>
                  </w:p>
                </w:txbxContent>
              </v:textbox>
            </v:shape>
          </w:pict>
        </mc:Fallback>
      </mc:AlternateContent>
    </w:r>
    <w:r>
      <w:rPr>
        <w:rStyle w:val="41"/>
      </w:rPr>
      <mc:AlternateContent>
        <mc:Choice Requires="wps">
          <w:drawing>
            <wp:anchor distT="0" distB="0" distL="114300" distR="114300" simplePos="0" relativeHeight="251661312"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49B44C34">
                          <w:pPr>
                            <w:pStyle w:val="55"/>
                            <w:spacing w:line="234" w:lineRule="exact"/>
                            <w:ind w:left="40"/>
                            <w:rPr>
                              <w:rStyle w:val="41"/>
                              <w:rFonts w:ascii="Times New Roman"/>
                            </w:rPr>
                          </w:pPr>
                        </w:p>
                        <w:p w14:paraId="6D151CEA">
                          <w:pPr>
                            <w:spacing w:line="180" w:lineRule="exact"/>
                            <w:ind w:left="20"/>
                            <w:rPr>
                              <w:rStyle w:val="41"/>
                            </w:rPr>
                          </w:pPr>
                        </w:p>
                      </w:txbxContent>
                    </wps:txbx>
                    <wps:bodyPr lIns="0" tIns="0" rIns="0" bIns="0" upright="1"/>
                  </wps:wsp>
                </a:graphicData>
              </a:graphic>
            </wp:anchor>
          </w:drawing>
        </mc:Choice>
        <mc:Fallback>
          <w:pict>
            <v:shape id="文本框 1030" o:spid="_x0000_s1026" o:spt="202" type="#_x0000_t202" style="position:absolute;left:0pt;margin-left:289.95pt;margin-top:788.15pt;height:12.45pt;width:14.5pt;mso-position-horizontal-relative:page;mso-position-vertical-relative:page;z-index:-251655168;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ojrq7aAAAADQEAAA8AAAAAAAAAAQAgAAAAIgAAAGRycy9kb3ducmV2LnhtbFBL&#10;AQIUABQAAAAIAIdO4kBGeb0HuwEAAHQDAAAOAAAAAAAAAAEAIAAAACkBAABkcnMvZTJvRG9jLnht&#10;bFBLBQYAAAAABgAGAFkBAABWBQAAAAA=&#10;">
              <v:fill on="f" focussize="0,0"/>
              <v:stroke on="f"/>
              <v:imagedata o:title=""/>
              <o:lock v:ext="edit" aspectratio="f"/>
              <v:textbox inset="0mm,0mm,0mm,0mm">
                <w:txbxContent>
                  <w:p w14:paraId="49B44C34">
                    <w:pPr>
                      <w:pStyle w:val="55"/>
                      <w:spacing w:line="234" w:lineRule="exact"/>
                      <w:ind w:left="40"/>
                      <w:rPr>
                        <w:rStyle w:val="41"/>
                        <w:rFonts w:ascii="Times New Roman"/>
                      </w:rPr>
                    </w:pPr>
                  </w:p>
                  <w:p w14:paraId="6D151CEA">
                    <w:pPr>
                      <w:spacing w:line="180" w:lineRule="exact"/>
                      <w:ind w:left="20"/>
                      <w:rPr>
                        <w:rStyle w:val="4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7F28">
    <w:pPr>
      <w:pStyle w:val="1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F7D27C">
                          <w:pPr>
                            <w:pStyle w:val="13"/>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52F7D27C">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A39D2">
    <w:pPr>
      <w:spacing w:line="200" w:lineRule="exact"/>
      <w:rPr>
        <w:rStyle w:val="41"/>
        <w:rFonts w:eastAsia="Times New Roman"/>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48F652">
                          <w:pPr>
                            <w:pStyle w:val="13"/>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NaFMUBAACR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1XS0osNzjx8/dv5x+/zj+/&#10;kmXxtkwS9R4qzHzymBuHOzfg4sx+QGdiPrTBpC9yIhhHgU8XgeUQiUiPylVZFhgSGJsviM+en/sA&#10;8b10hiSjpgEnmIXlx0eIY+qckqpZd6+0zlPU9i8HYiYPS72PPSYrDrthIrRzzQn59Dj8mlrcdUr0&#10;g0Vt057MRpiN3WSkGuBvDxEL534S6gg1FcNJZUbTVqVV+POes57/p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PTWhTFAQAAkQMAAA4AAAAAAAAAAQAgAAAAHgEAAGRycy9lMm9Eb2MueG1s&#10;UEsFBgAAAAAGAAYAWQEAAFUFAAAAAA==&#10;">
              <v:fill on="f" focussize="0,0"/>
              <v:stroke on="f"/>
              <v:imagedata o:title=""/>
              <o:lock v:ext="edit" aspectratio="f"/>
              <v:textbox inset="0mm,0mm,0mm,0mm" style="mso-fit-shape-to-text:t;">
                <w:txbxContent>
                  <w:p w14:paraId="4D48F652">
                    <w:pPr>
                      <w:pStyle w:val="13"/>
                    </w:pPr>
                    <w:r>
                      <w:fldChar w:fldCharType="begin"/>
                    </w:r>
                    <w:r>
                      <w:instrText xml:space="preserve"> PAGE  \* MERGEFORMAT </w:instrText>
                    </w:r>
                    <w:r>
                      <w:fldChar w:fldCharType="separate"/>
                    </w:r>
                    <w:r>
                      <w:t>16</w:t>
                    </w:r>
                    <w:r>
                      <w:fldChar w:fldCharType="end"/>
                    </w:r>
                  </w:p>
                </w:txbxContent>
              </v:textbox>
            </v:shape>
          </w:pict>
        </mc:Fallback>
      </mc:AlternateContent>
    </w:r>
    <w:r>
      <w:rPr>
        <w:rStyle w:val="41"/>
      </w:rPr>
      <mc:AlternateContent>
        <mc:Choice Requires="wps">
          <w:drawing>
            <wp:anchor distT="0" distB="0" distL="114300" distR="114300" simplePos="0" relativeHeight="251662336"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7DA8DEC7">
                          <w:pPr>
                            <w:pStyle w:val="55"/>
                            <w:spacing w:line="234" w:lineRule="exact"/>
                            <w:ind w:left="40"/>
                            <w:rPr>
                              <w:rStyle w:val="41"/>
                              <w:rFonts w:ascii="Times New Roman"/>
                            </w:rPr>
                          </w:pPr>
                        </w:p>
                        <w:p w14:paraId="7D7F9596">
                          <w:pPr>
                            <w:spacing w:line="180" w:lineRule="exact"/>
                            <w:ind w:left="20"/>
                            <w:rPr>
                              <w:rStyle w:val="41"/>
                            </w:rPr>
                          </w:pPr>
                        </w:p>
                      </w:txbxContent>
                    </wps:txbx>
                    <wps:bodyPr lIns="0" tIns="0" rIns="0" bIns="0" upright="1"/>
                  </wps:wsp>
                </a:graphicData>
              </a:graphic>
            </wp:anchor>
          </w:drawing>
        </mc:Choice>
        <mc:Fallback>
          <w:pict>
            <v:shape id="文本框 1031" o:spid="_x0000_s1026" o:spt="202" type="#_x0000_t202" style="position:absolute;left:0pt;margin-left:289.95pt;margin-top:788.15pt;height:12.45pt;width:14.5pt;mso-position-horizontal-relative:page;mso-position-vertical-relative:page;z-index:-251654144;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iOurtoAAAANAQAADwAAAAAAAAABACAAAAAiAAAAZHJzL2Rvd25yZXYueG1sUEsB&#10;AhQAFAAAAAgAh07iQNuQbrW6AQAAdAMAAA4AAAAAAAAAAQAgAAAAKQEAAGRycy9lMm9Eb2MueG1s&#10;UEsFBgAAAAAGAAYAWQEAAFUFAAAAAA==&#10;">
              <v:fill on="f" focussize="0,0"/>
              <v:stroke on="f"/>
              <v:imagedata o:title=""/>
              <o:lock v:ext="edit" aspectratio="f"/>
              <v:textbox inset="0mm,0mm,0mm,0mm">
                <w:txbxContent>
                  <w:p w14:paraId="7DA8DEC7">
                    <w:pPr>
                      <w:pStyle w:val="55"/>
                      <w:spacing w:line="234" w:lineRule="exact"/>
                      <w:ind w:left="40"/>
                      <w:rPr>
                        <w:rStyle w:val="41"/>
                        <w:rFonts w:ascii="Times New Roman"/>
                      </w:rPr>
                    </w:pPr>
                  </w:p>
                  <w:p w14:paraId="7D7F9596">
                    <w:pPr>
                      <w:spacing w:line="180" w:lineRule="exact"/>
                      <w:ind w:left="20"/>
                      <w:rPr>
                        <w:rStyle w:val="41"/>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9706B">
    <w:pPr>
      <w:spacing w:line="200" w:lineRule="exact"/>
      <w:rPr>
        <w:rStyle w:val="41"/>
        <w:rFonts w:eastAsia="Times New Roman"/>
        <w:sz w:val="20"/>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B6EC9">
                          <w:pPr>
                            <w:pStyle w:val="13"/>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40uMYBAACRAwAADgAAAGRycy9lMm9Eb2MueG1srVPNjtMwEL4j7TtY&#10;vm+dRitU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WlZUmK5wYmfv387//h1/vmV&#10;LIubN0mi3kOFmQ8ec+Pwzg24OLMf0JmYD20w6YucCMZR4NNFYDlEItKjVblaFRgSGJsviM+envsA&#10;8V46Q5JR04ATzMLy4weIY+qckqpZd6e0zlPU9i8HYiYPS72PPSYrDrthIrRzzQn59Dj8mlrcdUr0&#10;e4vapj2ZjTAbu8lINcC/PUQsnPtJqCPUVAwnlRlNW5VW4c97znr6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qTjS4xgEAAJEDAAAOAAAAAAAAAAEAIAAAAB4BAABkcnMvZTJvRG9jLnht&#10;bFBLBQYAAAAABgAGAFkBAABWBQAAAAA=&#10;">
              <v:fill on="f" focussize="0,0"/>
              <v:stroke on="f"/>
              <v:imagedata o:title=""/>
              <o:lock v:ext="edit" aspectratio="f"/>
              <v:textbox inset="0mm,0mm,0mm,0mm" style="mso-fit-shape-to-text:t;">
                <w:txbxContent>
                  <w:p w14:paraId="2BBB6EC9">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rStyle w:val="41"/>
      </w:rPr>
      <mc:AlternateContent>
        <mc:Choice Requires="wps">
          <w:drawing>
            <wp:anchor distT="0" distB="0" distL="114300" distR="114300" simplePos="0" relativeHeight="251663360"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6620BDD8">
                          <w:pPr>
                            <w:pStyle w:val="55"/>
                            <w:spacing w:line="234" w:lineRule="exact"/>
                            <w:ind w:left="40"/>
                            <w:rPr>
                              <w:rStyle w:val="41"/>
                              <w:rFonts w:ascii="Times New Roman"/>
                            </w:rPr>
                          </w:pPr>
                        </w:p>
                        <w:p w14:paraId="3C0DCDA4">
                          <w:pPr>
                            <w:ind w:left="20"/>
                            <w:rPr>
                              <w:rStyle w:val="41"/>
                            </w:rPr>
                          </w:pPr>
                        </w:p>
                      </w:txbxContent>
                    </wps:txbx>
                    <wps:bodyPr lIns="0" tIns="0" rIns="0" bIns="0" upright="1"/>
                  </wps:wsp>
                </a:graphicData>
              </a:graphic>
            </wp:anchor>
          </w:drawing>
        </mc:Choice>
        <mc:Fallback>
          <w:pict>
            <v:shape id="文本框 1032" o:spid="_x0000_s1026" o:spt="202" type="#_x0000_t202" style="position:absolute;left:0pt;margin-left:289.95pt;margin-top:788.15pt;height:12.45pt;width:14.5pt;mso-position-horizontal-relative:page;mso-position-vertical-relative:page;z-index:-251653120;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I66u2gAAAA0BAAAPAAAAAAAAAAEAIAAAACIAAABkcnMvZG93bnJldi54bWxQ&#10;SwECFAAUAAAACACHTuJAPaxrubwBAAB0AwAADgAAAAAAAAABACAAAAApAQAAZHJzL2Uyb0RvYy54&#10;bWxQSwUGAAAAAAYABgBZAQAAVwUAAAAA&#10;">
              <v:fill on="f" focussize="0,0"/>
              <v:stroke on="f"/>
              <v:imagedata o:title=""/>
              <o:lock v:ext="edit" aspectratio="f"/>
              <v:textbox inset="0mm,0mm,0mm,0mm">
                <w:txbxContent>
                  <w:p w14:paraId="6620BDD8">
                    <w:pPr>
                      <w:pStyle w:val="55"/>
                      <w:spacing w:line="234" w:lineRule="exact"/>
                      <w:ind w:left="40"/>
                      <w:rPr>
                        <w:rStyle w:val="41"/>
                        <w:rFonts w:ascii="Times New Roman"/>
                      </w:rPr>
                    </w:pPr>
                  </w:p>
                  <w:p w14:paraId="3C0DCDA4">
                    <w:pPr>
                      <w:ind w:left="20"/>
                      <w:rPr>
                        <w:rStyle w:val="41"/>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F5514">
    <w:pPr>
      <w:spacing w:line="196" w:lineRule="auto"/>
      <w:ind w:left="4080"/>
      <w:rPr>
        <w:rFonts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F5C5E">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72F5C5E">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74CE">
    <w:pPr>
      <w:snapToGrid w:val="0"/>
      <w:spacing w:line="360" w:lineRule="auto"/>
      <w:jc w:val="both"/>
      <w:outlineLvl w:val="0"/>
    </w:pPr>
    <w:r>
      <w:rPr>
        <w:rFonts w:hint="eastAsia" w:ascii="宋体" w:hAnsi="宋体"/>
      </w:rPr>
      <w:t xml:space="preserve">     </w:t>
    </w:r>
  </w:p>
  <w:p w14:paraId="36C415C3">
    <w:pPr>
      <w:spacing w:line="200" w:lineRule="exact"/>
      <w:rPr>
        <w:rStyle w:val="41"/>
        <w:rFonts w:eastAsia="Times New Roman"/>
        <w:sz w:val="20"/>
      </w:rPr>
    </w:pPr>
    <w:r>
      <w:rPr>
        <w:rStyle w:val="41"/>
      </w:rPr>
      <mc:AlternateContent>
        <mc:Choice Requires="wps">
          <w:drawing>
            <wp:anchor distT="0" distB="0" distL="114300" distR="114300" simplePos="0" relativeHeight="251659264" behindDoc="1" locked="0" layoutInCell="0" allowOverlap="1">
              <wp:simplePos x="0" y="0"/>
              <wp:positionH relativeFrom="page">
                <wp:posOffset>4358005</wp:posOffset>
              </wp:positionH>
              <wp:positionV relativeFrom="page">
                <wp:posOffset>492760</wp:posOffset>
              </wp:positionV>
              <wp:extent cx="2106295" cy="18351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106295" cy="183515"/>
                      </a:xfrm>
                      <a:prstGeom prst="rect">
                        <a:avLst/>
                      </a:prstGeom>
                      <a:noFill/>
                      <a:ln>
                        <a:noFill/>
                      </a:ln>
                    </wps:spPr>
                    <wps:txbx>
                      <w:txbxContent>
                        <w:p w14:paraId="2EE33D75">
                          <w:pPr>
                            <w:spacing w:line="180" w:lineRule="exact"/>
                            <w:ind w:left="20"/>
                            <w:rPr>
                              <w:rStyle w:val="41"/>
                              <w:rFonts w:ascii="宋体"/>
                              <w:b/>
                              <w:sz w:val="21"/>
                            </w:rPr>
                          </w:pPr>
                        </w:p>
                      </w:txbxContent>
                    </wps:txbx>
                    <wps:bodyPr lIns="0" tIns="0" rIns="0" bIns="0" upright="1"/>
                  </wps:wsp>
                </a:graphicData>
              </a:graphic>
            </wp:anchor>
          </w:drawing>
        </mc:Choice>
        <mc:Fallback>
          <w:pict>
            <v:shape id="文本框 1025" o:spid="_x0000_s1026" o:spt="202" type="#_x0000_t202" style="position:absolute;left:0pt;margin-left:343.15pt;margin-top:38.8pt;height:14.45pt;width:165.85pt;mso-position-horizontal-relative:page;mso-position-vertical-relative:page;z-index:-251657216;mso-width-relative:page;mso-height-relative:page;" filled="f" stroked="f" coordsize="21600,21600" o:allowincell="f" o:gfxdata="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xQSifYAAAACwEAAA8AAAAAAAAAAQAgAAAAIgAAAGRycy9kb3ducmV2LnhtbFBL&#10;AQIUABQAAAAIAIdO4kBT4zbAvQEAAHUDAAAOAAAAAAAAAAEAIAAAACcBAABkcnMvZTJvRG9jLnht&#10;bFBLBQYAAAAABgAGAFkBAABWBQAAAAA=&#10;">
              <v:fill on="f" focussize="0,0"/>
              <v:stroke on="f"/>
              <v:imagedata o:title=""/>
              <o:lock v:ext="edit" aspectratio="f"/>
              <v:textbox inset="0mm,0mm,0mm,0mm">
                <w:txbxContent>
                  <w:p w14:paraId="2EE33D75">
                    <w:pPr>
                      <w:spacing w:line="180" w:lineRule="exact"/>
                      <w:ind w:left="20"/>
                      <w:rPr>
                        <w:rStyle w:val="41"/>
                        <w:rFonts w:ascii="宋体"/>
                        <w:b/>
                        <w:sz w:val="21"/>
                      </w:rPr>
                    </w:pPr>
                  </w:p>
                </w:txbxContent>
              </v:textbox>
            </v:shape>
          </w:pict>
        </mc:Fallback>
      </mc:AlternateContent>
    </w:r>
    <w:r>
      <w:rPr>
        <w:rStyle w:val="41"/>
      </w:rPr>
      <mc:AlternateContent>
        <mc:Choice Requires="wps">
          <w:drawing>
            <wp:anchor distT="0" distB="0" distL="114300" distR="114300" simplePos="0" relativeHeight="251667456" behindDoc="1" locked="0" layoutInCell="0" allowOverlap="1">
              <wp:simplePos x="0" y="0"/>
              <wp:positionH relativeFrom="page">
                <wp:posOffset>1395095</wp:posOffset>
              </wp:positionH>
              <wp:positionV relativeFrom="page">
                <wp:posOffset>548005</wp:posOffset>
              </wp:positionV>
              <wp:extent cx="2155190" cy="139700"/>
              <wp:effectExtent l="0" t="0" r="0" b="0"/>
              <wp:wrapNone/>
              <wp:docPr id="17" name="文本框 1026"/>
              <wp:cNvGraphicFramePr/>
              <a:graphic xmlns:a="http://schemas.openxmlformats.org/drawingml/2006/main">
                <a:graphicData uri="http://schemas.microsoft.com/office/word/2010/wordprocessingShape">
                  <wps:wsp>
                    <wps:cNvSpPr txBox="1"/>
                    <wps:spPr>
                      <a:xfrm>
                        <a:off x="0" y="0"/>
                        <a:ext cx="2155190" cy="139700"/>
                      </a:xfrm>
                      <a:prstGeom prst="rect">
                        <a:avLst/>
                      </a:prstGeom>
                      <a:noFill/>
                      <a:ln>
                        <a:noFill/>
                      </a:ln>
                    </wps:spPr>
                    <wps:txbx>
                      <w:txbxContent>
                        <w:p w14:paraId="6E76BF2D">
                          <w:pPr>
                            <w:spacing w:line="203" w:lineRule="exact"/>
                            <w:ind w:left="20"/>
                            <w:rPr>
                              <w:rStyle w:val="41"/>
                              <w:rFonts w:ascii="宋体"/>
                              <w:sz w:val="21"/>
                            </w:rPr>
                          </w:pPr>
                        </w:p>
                        <w:p w14:paraId="66A85FF9">
                          <w:pPr>
                            <w:spacing w:line="180" w:lineRule="exact"/>
                            <w:ind w:left="20"/>
                            <w:rPr>
                              <w:rStyle w:val="41"/>
                            </w:rPr>
                          </w:pPr>
                        </w:p>
                      </w:txbxContent>
                    </wps:txbx>
                    <wps:bodyPr lIns="0" tIns="0" rIns="0" bIns="0" upright="1"/>
                  </wps:wsp>
                </a:graphicData>
              </a:graphic>
            </wp:anchor>
          </w:drawing>
        </mc:Choice>
        <mc:Fallback>
          <w:pict>
            <v:shape id="文本框 1026" o:spid="_x0000_s1026" o:spt="202" type="#_x0000_t202" style="position:absolute;left:0pt;margin-left:109.85pt;margin-top:43.15pt;height:11pt;width:169.7pt;mso-position-horizontal-relative:page;mso-position-vertical-relative:page;z-index:-251649024;mso-width-relative:page;mso-height-relative:page;" filled="f" stroked="f" coordsize="21600,21600" o:allowincell="f" o:gfxdata="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Vaf6dkAAAAKAQAADwAAAAAAAAABACAAAAAiAAAAZHJzL2Rvd25yZXYueG1s&#10;UEsBAhQAFAAAAAgAh07iQEbu2xm+AQAAdgMAAA4AAAAAAAAAAQAgAAAAKAEAAGRycy9lMm9Eb2Mu&#10;eG1sUEsFBgAAAAAGAAYAWQEAAFgFAAAAAA==&#10;">
              <v:fill on="f" focussize="0,0"/>
              <v:stroke on="f"/>
              <v:imagedata o:title=""/>
              <o:lock v:ext="edit" aspectratio="f"/>
              <v:textbox inset="0mm,0mm,0mm,0mm">
                <w:txbxContent>
                  <w:p w14:paraId="6E76BF2D">
                    <w:pPr>
                      <w:spacing w:line="203" w:lineRule="exact"/>
                      <w:ind w:left="20"/>
                      <w:rPr>
                        <w:rStyle w:val="41"/>
                        <w:rFonts w:ascii="宋体"/>
                        <w:sz w:val="21"/>
                      </w:rPr>
                    </w:pPr>
                  </w:p>
                  <w:p w14:paraId="66A85FF9">
                    <w:pPr>
                      <w:spacing w:line="180" w:lineRule="exact"/>
                      <w:ind w:left="20"/>
                      <w:rPr>
                        <w:rStyle w:val="4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D8FE">
    <w:pPr>
      <w:snapToGrid w:val="0"/>
      <w:spacing w:line="360" w:lineRule="auto"/>
      <w:jc w:val="both"/>
      <w:outlineLvl w:val="0"/>
    </w:pPr>
    <w:r>
      <w:rPr>
        <w:rFonts w:hint="eastAsia" w:ascii="宋体" w:hAnsi="宋体"/>
      </w:rPr>
      <w:t xml:space="preserve">    </w:t>
    </w:r>
  </w:p>
  <w:p w14:paraId="74687C7B">
    <w:pPr>
      <w:spacing w:line="200" w:lineRule="exact"/>
      <w:rPr>
        <w:rStyle w:val="41"/>
        <w:rFonts w:eastAsia="Times New Roman"/>
        <w:sz w:val="20"/>
      </w:rPr>
    </w:pPr>
    <w:r>
      <w:rPr>
        <w:rStyle w:val="41"/>
      </w:rPr>
      <mc:AlternateContent>
        <mc:Choice Requires="wps">
          <w:drawing>
            <wp:anchor distT="0" distB="0" distL="114300" distR="114300" simplePos="0" relativeHeight="251677696" behindDoc="1" locked="0" layoutInCell="0" allowOverlap="1">
              <wp:simplePos x="0" y="0"/>
              <wp:positionH relativeFrom="page">
                <wp:posOffset>1395095</wp:posOffset>
              </wp:positionH>
              <wp:positionV relativeFrom="page">
                <wp:posOffset>548005</wp:posOffset>
              </wp:positionV>
              <wp:extent cx="2155190" cy="139700"/>
              <wp:effectExtent l="0" t="0" r="0" b="0"/>
              <wp:wrapNone/>
              <wp:docPr id="31" name="文本框 1061"/>
              <wp:cNvGraphicFramePr/>
              <a:graphic xmlns:a="http://schemas.openxmlformats.org/drawingml/2006/main">
                <a:graphicData uri="http://schemas.microsoft.com/office/word/2010/wordprocessingShape">
                  <wps:wsp>
                    <wps:cNvSpPr txBox="1"/>
                    <wps:spPr>
                      <a:xfrm>
                        <a:off x="0" y="0"/>
                        <a:ext cx="2155190" cy="139700"/>
                      </a:xfrm>
                      <a:prstGeom prst="rect">
                        <a:avLst/>
                      </a:prstGeom>
                      <a:noFill/>
                      <a:ln>
                        <a:noFill/>
                      </a:ln>
                    </wps:spPr>
                    <wps:txbx>
                      <w:txbxContent>
                        <w:p w14:paraId="3CFE17F4">
                          <w:pPr>
                            <w:spacing w:line="203" w:lineRule="exact"/>
                            <w:ind w:left="20"/>
                            <w:rPr>
                              <w:rStyle w:val="41"/>
                              <w:rFonts w:ascii="宋体"/>
                              <w:sz w:val="21"/>
                            </w:rPr>
                          </w:pPr>
                        </w:p>
                        <w:p w14:paraId="60530358">
                          <w:pPr>
                            <w:spacing w:line="180" w:lineRule="exact"/>
                            <w:ind w:left="20"/>
                            <w:rPr>
                              <w:rStyle w:val="41"/>
                            </w:rPr>
                          </w:pPr>
                        </w:p>
                      </w:txbxContent>
                    </wps:txbx>
                    <wps:bodyPr lIns="0" tIns="0" rIns="0" bIns="0" upright="1"/>
                  </wps:wsp>
                </a:graphicData>
              </a:graphic>
            </wp:anchor>
          </w:drawing>
        </mc:Choice>
        <mc:Fallback>
          <w:pict>
            <v:shape id="文本框 1061" o:spid="_x0000_s1026" o:spt="202" type="#_x0000_t202" style="position:absolute;left:0pt;margin-left:109.85pt;margin-top:43.15pt;height:11pt;width:169.7pt;mso-position-horizontal-relative:page;mso-position-vertical-relative:page;z-index:-251638784;mso-width-relative:page;mso-height-relative:page;" filled="f" stroked="f" coordsize="21600,21600" o:allowincell="f" o:gfxdata="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1Wn+nZAAAACgEAAA8AAAAAAAAAAQAgAAAAIgAAAGRycy9kb3ducmV2Lnht&#10;bFBLAQIUABQAAAAIAIdO4kC7YBHVvwEAAHYDAAAOAAAAAAAAAAEAIAAAACgBAABkcnMvZTJvRG9j&#10;LnhtbFBLBQYAAAAABgAGAFkBAABZBQAAAAA=&#10;">
              <v:fill on="f" focussize="0,0"/>
              <v:stroke on="f"/>
              <v:imagedata o:title=""/>
              <o:lock v:ext="edit" aspectratio="f"/>
              <v:textbox inset="0mm,0mm,0mm,0mm">
                <w:txbxContent>
                  <w:p w14:paraId="3CFE17F4">
                    <w:pPr>
                      <w:spacing w:line="203" w:lineRule="exact"/>
                      <w:ind w:left="20"/>
                      <w:rPr>
                        <w:rStyle w:val="41"/>
                        <w:rFonts w:ascii="宋体"/>
                        <w:sz w:val="21"/>
                      </w:rPr>
                    </w:pPr>
                  </w:p>
                  <w:p w14:paraId="60530358">
                    <w:pPr>
                      <w:spacing w:line="180" w:lineRule="exact"/>
                      <w:ind w:left="20"/>
                      <w:rPr>
                        <w:rStyle w:val="4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ACA84">
    <w:pPr>
      <w:snapToGrid w:val="0"/>
      <w:spacing w:line="360" w:lineRule="auto"/>
      <w:jc w:val="both"/>
      <w:outlineLvl w:val="0"/>
      <w:rPr>
        <w:rStyle w:val="41"/>
        <w:rFonts w:eastAsia="Times New Roman"/>
        <w:sz w:val="20"/>
      </w:rPr>
    </w:pPr>
    <w:r>
      <w:rPr>
        <w:rFonts w:hint="eastAsia" w:ascii="宋体" w:hAnsi="宋体"/>
      </w:rPr>
      <w:t xml:space="preserve">     </w:t>
    </w:r>
    <w:r>
      <w:rPr>
        <w:rStyle w:val="41"/>
      </w:rPr>
      <mc:AlternateContent>
        <mc:Choice Requires="wps">
          <w:drawing>
            <wp:anchor distT="0" distB="0" distL="114300" distR="114300" simplePos="0" relativeHeight="251675648" behindDoc="1" locked="0" layoutInCell="0" allowOverlap="1">
              <wp:simplePos x="0" y="0"/>
              <wp:positionH relativeFrom="page">
                <wp:posOffset>1395095</wp:posOffset>
              </wp:positionH>
              <wp:positionV relativeFrom="page">
                <wp:posOffset>548005</wp:posOffset>
              </wp:positionV>
              <wp:extent cx="2155190" cy="139700"/>
              <wp:effectExtent l="0" t="0" r="0" b="0"/>
              <wp:wrapNone/>
              <wp:docPr id="29" name="文本框 1059"/>
              <wp:cNvGraphicFramePr/>
              <a:graphic xmlns:a="http://schemas.openxmlformats.org/drawingml/2006/main">
                <a:graphicData uri="http://schemas.microsoft.com/office/word/2010/wordprocessingShape">
                  <wps:wsp>
                    <wps:cNvSpPr txBox="1"/>
                    <wps:spPr>
                      <a:xfrm>
                        <a:off x="0" y="0"/>
                        <a:ext cx="2155190" cy="139700"/>
                      </a:xfrm>
                      <a:prstGeom prst="rect">
                        <a:avLst/>
                      </a:prstGeom>
                      <a:noFill/>
                      <a:ln>
                        <a:noFill/>
                      </a:ln>
                    </wps:spPr>
                    <wps:txbx>
                      <w:txbxContent>
                        <w:p w14:paraId="6357A89A">
                          <w:pPr>
                            <w:spacing w:line="203" w:lineRule="exact"/>
                            <w:ind w:left="20"/>
                            <w:rPr>
                              <w:rStyle w:val="41"/>
                              <w:rFonts w:ascii="宋体"/>
                              <w:sz w:val="21"/>
                            </w:rPr>
                          </w:pPr>
                        </w:p>
                        <w:p w14:paraId="1FA31876">
                          <w:pPr>
                            <w:spacing w:line="180" w:lineRule="exact"/>
                            <w:ind w:left="20"/>
                            <w:rPr>
                              <w:rStyle w:val="41"/>
                            </w:rPr>
                          </w:pPr>
                        </w:p>
                      </w:txbxContent>
                    </wps:txbx>
                    <wps:bodyPr lIns="0" tIns="0" rIns="0" bIns="0" upright="1"/>
                  </wps:wsp>
                </a:graphicData>
              </a:graphic>
            </wp:anchor>
          </w:drawing>
        </mc:Choice>
        <mc:Fallback>
          <w:pict>
            <v:shape id="文本框 1059" o:spid="_x0000_s1026" o:spt="202" type="#_x0000_t202" style="position:absolute;left:0pt;margin-left:109.85pt;margin-top:43.15pt;height:11pt;width:169.7pt;mso-position-horizontal-relative:page;mso-position-vertical-relative:page;z-index:-251640832;mso-width-relative:page;mso-height-relative:page;" filled="f" stroked="f" coordsize="21600,21600" o:allowincell="f" o:gfxdata="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Vaf6dkAAAAKAQAADwAAAAAAAAABACAAAAAiAAAAZHJzL2Rvd25yZXYueG1s&#10;UEsBAhQAFAAAAAgAh07iQEe74X2+AQAAdgMAAA4AAAAAAAAAAQAgAAAAKAEAAGRycy9lMm9Eb2Mu&#10;eG1sUEsFBgAAAAAGAAYAWQEAAFgFAAAAAA==&#10;">
              <v:fill on="f" focussize="0,0"/>
              <v:stroke on="f"/>
              <v:imagedata o:title=""/>
              <o:lock v:ext="edit" aspectratio="f"/>
              <v:textbox inset="0mm,0mm,0mm,0mm">
                <w:txbxContent>
                  <w:p w14:paraId="6357A89A">
                    <w:pPr>
                      <w:spacing w:line="203" w:lineRule="exact"/>
                      <w:ind w:left="20"/>
                      <w:rPr>
                        <w:rStyle w:val="41"/>
                        <w:rFonts w:ascii="宋体"/>
                        <w:sz w:val="21"/>
                      </w:rPr>
                    </w:pPr>
                  </w:p>
                  <w:p w14:paraId="1FA31876">
                    <w:pPr>
                      <w:spacing w:line="180" w:lineRule="exact"/>
                      <w:ind w:left="20"/>
                      <w:rPr>
                        <w:rStyle w:val="4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suff w:val="nothing"/>
      <w:lvlText w:val="（%1）"/>
      <w:lvlJc w:val="left"/>
      <w:pPr>
        <w:widowControl/>
        <w:textAlignment w:val="baseline"/>
      </w:pPr>
      <w:rPr>
        <w:rFonts w:ascii="Times New Roman" w:hAnsi="Times New Roman" w:eastAsia="宋体"/>
      </w:rPr>
    </w:lvl>
    <w:lvl w:ilvl="1" w:tentative="0">
      <w:start w:val="1"/>
      <w:numFmt w:val="decimal"/>
      <w:lvlText w:val="（"/>
      <w:lvlJc w:val="left"/>
      <w:pPr>
        <w:widowControl/>
        <w:textAlignment w:val="baseline"/>
      </w:pPr>
    </w:lvl>
    <w:lvl w:ilvl="2" w:tentative="0">
      <w:start w:val="1"/>
      <w:numFmt w:val="decimal"/>
      <w:lvlText w:val="（"/>
      <w:lvlJc w:val="left"/>
      <w:pPr>
        <w:widowControl/>
        <w:textAlignment w:val="baseline"/>
      </w:pPr>
    </w:lvl>
    <w:lvl w:ilvl="3" w:tentative="0">
      <w:start w:val="1"/>
      <w:numFmt w:val="decimal"/>
      <w:lvlText w:val="（"/>
      <w:lvlJc w:val="left"/>
      <w:pPr>
        <w:widowControl/>
        <w:textAlignment w:val="baseline"/>
      </w:pPr>
    </w:lvl>
    <w:lvl w:ilvl="4" w:tentative="0">
      <w:start w:val="1"/>
      <w:numFmt w:val="decimal"/>
      <w:lvlText w:val="（"/>
      <w:lvlJc w:val="left"/>
      <w:pPr>
        <w:widowControl/>
        <w:textAlignment w:val="baseline"/>
      </w:pPr>
    </w:lvl>
    <w:lvl w:ilvl="5" w:tentative="0">
      <w:start w:val="1"/>
      <w:numFmt w:val="decimal"/>
      <w:lvlText w:val="（"/>
      <w:lvlJc w:val="left"/>
      <w:pPr>
        <w:widowControl/>
        <w:textAlignment w:val="baseline"/>
      </w:pPr>
    </w:lvl>
    <w:lvl w:ilvl="6" w:tentative="0">
      <w:start w:val="1"/>
      <w:numFmt w:val="decimal"/>
      <w:lvlText w:val="（"/>
      <w:lvlJc w:val="left"/>
      <w:pPr>
        <w:widowControl/>
        <w:textAlignment w:val="baseline"/>
      </w:pPr>
    </w:lvl>
    <w:lvl w:ilvl="7" w:tentative="0">
      <w:start w:val="1"/>
      <w:numFmt w:val="decimal"/>
      <w:lvlText w:val="（"/>
      <w:lvlJc w:val="left"/>
      <w:pPr>
        <w:widowControl/>
        <w:textAlignment w:val="baseline"/>
      </w:pPr>
    </w:lvl>
    <w:lvl w:ilvl="8" w:tentative="0">
      <w:start w:val="1"/>
      <w:numFmt w:val="decimal"/>
      <w:lvlText w:val="（"/>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720"/>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TE1NWYwZTlmMGI1YmIzN2Q0NWQ5NzZhMjcwN2YifQ=="/>
  </w:docVars>
  <w:rsids>
    <w:rsidRoot w:val="00000000"/>
    <w:rsid w:val="02317AF5"/>
    <w:rsid w:val="07D8072A"/>
    <w:rsid w:val="10337AA3"/>
    <w:rsid w:val="11A622AD"/>
    <w:rsid w:val="14E2161A"/>
    <w:rsid w:val="172F4AF3"/>
    <w:rsid w:val="1A845156"/>
    <w:rsid w:val="24B94F26"/>
    <w:rsid w:val="26B172D2"/>
    <w:rsid w:val="2BD001FB"/>
    <w:rsid w:val="32024E86"/>
    <w:rsid w:val="38DA0D8B"/>
    <w:rsid w:val="39633888"/>
    <w:rsid w:val="3CFB1908"/>
    <w:rsid w:val="455C26A8"/>
    <w:rsid w:val="486E2CDF"/>
    <w:rsid w:val="52021EE1"/>
    <w:rsid w:val="535A6478"/>
    <w:rsid w:val="589466F1"/>
    <w:rsid w:val="598C0E5A"/>
    <w:rsid w:val="5A427C66"/>
    <w:rsid w:val="5C484BDD"/>
    <w:rsid w:val="668C0A9C"/>
    <w:rsid w:val="66D93634"/>
    <w:rsid w:val="67CE0D8B"/>
    <w:rsid w:val="687731D1"/>
    <w:rsid w:val="6DE60FF0"/>
    <w:rsid w:val="703B0F88"/>
    <w:rsid w:val="74E97204"/>
    <w:rsid w:val="7BD20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Times New Roman" w:hAnsi="Times New Roman" w:eastAsia="宋体" w:cstheme="minorBidi"/>
      <w:sz w:val="24"/>
      <w:szCs w:val="24"/>
      <w:lang w:val="en-US" w:eastAsia="zh-CN" w:bidi="ar-SA"/>
    </w:rPr>
  </w:style>
  <w:style w:type="paragraph" w:styleId="5">
    <w:name w:val="heading 1"/>
    <w:basedOn w:val="1"/>
    <w:next w:val="1"/>
    <w:qFormat/>
    <w:uiPriority w:val="0"/>
    <w:pPr>
      <w:adjustRightInd w:val="0"/>
      <w:snapToGrid w:val="0"/>
      <w:jc w:val="center"/>
      <w:outlineLvl w:val="0"/>
    </w:pPr>
    <w:rPr>
      <w:rFonts w:ascii="宋体" w:hAnsi="宋体" w:cs="宋体"/>
      <w:b/>
      <w:color w:val="000000"/>
      <w:kern w:val="44"/>
      <w:sz w:val="44"/>
    </w:rPr>
  </w:style>
  <w:style w:type="paragraph" w:styleId="6">
    <w:name w:val="heading 3"/>
    <w:basedOn w:val="1"/>
    <w:next w:val="1"/>
    <w:unhideWhenUsed/>
    <w:qFormat/>
    <w:uiPriority w:val="0"/>
    <w:pPr>
      <w:keepNext/>
      <w:keepLines/>
      <w:spacing w:line="500" w:lineRule="exact"/>
      <w:jc w:val="center"/>
      <w:outlineLvl w:val="2"/>
    </w:pPr>
    <w:rPr>
      <w:rFonts w:cs="Times New Roman"/>
      <w:b/>
      <w:bCs/>
      <w:sz w:val="32"/>
      <w:szCs w:val="32"/>
    </w:rPr>
  </w:style>
  <w:style w:type="paragraph" w:styleId="7">
    <w:name w:val="heading 4"/>
    <w:basedOn w:val="1"/>
    <w:next w:val="1"/>
    <w:unhideWhenUsed/>
    <w:qFormat/>
    <w:uiPriority w:val="0"/>
    <w:pPr>
      <w:keepNext/>
      <w:keepLines/>
      <w:spacing w:line="500" w:lineRule="exact"/>
      <w:outlineLvl w:val="3"/>
    </w:pPr>
    <w:rPr>
      <w:rFonts w:ascii="Arial" w:hAnsi="Arial"/>
      <w:b/>
      <w:sz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360" w:lineRule="auto"/>
      <w:ind w:left="420" w:leftChars="200" w:firstLine="420"/>
    </w:pPr>
    <w:rPr>
      <w:rFonts w:ascii="宋体"/>
      <w:b w:val="0"/>
      <w:bCs w:val="0"/>
      <w:sz w:val="28"/>
      <w:szCs w:val="20"/>
    </w:rPr>
  </w:style>
  <w:style w:type="paragraph" w:styleId="3">
    <w:name w:val="Body Text Indent"/>
    <w:basedOn w:val="1"/>
    <w:next w:val="4"/>
    <w:qFormat/>
    <w:uiPriority w:val="0"/>
    <w:pPr>
      <w:ind w:firstLine="422" w:firstLineChars="200"/>
    </w:pPr>
    <w:rPr>
      <w:b/>
      <w:bCs/>
    </w:rPr>
  </w:style>
  <w:style w:type="paragraph" w:styleId="4">
    <w:name w:val="envelope return"/>
    <w:basedOn w:val="1"/>
    <w:qFormat/>
    <w:uiPriority w:val="0"/>
    <w:rPr>
      <w:rFonts w:hAnsi="Arial"/>
    </w:rPr>
  </w:style>
  <w:style w:type="paragraph" w:styleId="9">
    <w:name w:val="annotation text"/>
    <w:basedOn w:val="1"/>
    <w:qFormat/>
    <w:uiPriority w:val="0"/>
  </w:style>
  <w:style w:type="paragraph" w:styleId="10">
    <w:name w:val="Body Text"/>
    <w:basedOn w:val="1"/>
    <w:next w:val="1"/>
    <w:unhideWhenUsed/>
    <w:qFormat/>
    <w:uiPriority w:val="0"/>
    <w:pPr>
      <w:spacing w:after="120"/>
    </w:pPr>
  </w:style>
  <w:style w:type="paragraph" w:styleId="11">
    <w:name w:val="Plain Text"/>
    <w:basedOn w:val="1"/>
    <w:qFormat/>
    <w:uiPriority w:val="0"/>
    <w:rPr>
      <w:rFonts w:ascii="宋体" w:hAnsi="Courier New"/>
      <w:szCs w:val="21"/>
    </w:rPr>
  </w:style>
  <w:style w:type="paragraph" w:styleId="12">
    <w:name w:val="Balloon Text"/>
    <w:basedOn w:val="1"/>
    <w:link w:val="136"/>
    <w:qFormat/>
    <w:uiPriority w:val="0"/>
    <w:rPr>
      <w:sz w:val="18"/>
      <w:szCs w:val="18"/>
    </w:rPr>
  </w:style>
  <w:style w:type="paragraph" w:styleId="13">
    <w:name w:val="footer"/>
    <w:basedOn w:val="1"/>
    <w:link w:val="62"/>
    <w:qFormat/>
    <w:uiPriority w:val="0"/>
    <w:pPr>
      <w:tabs>
        <w:tab w:val="center" w:pos="4153"/>
        <w:tab w:val="right" w:pos="8306"/>
      </w:tabs>
      <w:snapToGrid w:val="0"/>
    </w:pPr>
    <w:rPr>
      <w:sz w:val="18"/>
    </w:rPr>
  </w:style>
  <w:style w:type="paragraph" w:styleId="14">
    <w:name w:val="header"/>
    <w:basedOn w:val="1"/>
    <w:link w:val="63"/>
    <w:qFormat/>
    <w:uiPriority w:val="0"/>
    <w:pPr>
      <w:pBdr>
        <w:bottom w:val="single" w:color="000000"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777"/>
      </w:tabs>
      <w:spacing w:before="120" w:after="120" w:line="480" w:lineRule="auto"/>
    </w:pPr>
    <w:rPr>
      <w:b/>
      <w:bCs/>
      <w:caps/>
      <w:sz w:val="20"/>
      <w:szCs w:val="20"/>
    </w:rPr>
  </w:style>
  <w:style w:type="paragraph" w:styleId="16">
    <w:name w:val="Body Text Indent 3"/>
    <w:basedOn w:val="1"/>
    <w:qFormat/>
    <w:uiPriority w:val="0"/>
    <w:pPr>
      <w:spacing w:after="120"/>
      <w:ind w:left="420" w:leftChars="200"/>
    </w:pPr>
    <w:rPr>
      <w:sz w:val="16"/>
      <w:szCs w:val="16"/>
    </w:rPr>
  </w:style>
  <w:style w:type="paragraph" w:styleId="17">
    <w:name w:val="Title"/>
    <w:basedOn w:val="1"/>
    <w:link w:val="71"/>
    <w:qFormat/>
    <w:uiPriority w:val="0"/>
    <w:pPr>
      <w:tabs>
        <w:tab w:val="left" w:pos="360"/>
      </w:tabs>
      <w:ind w:left="360" w:hanging="360" w:hangingChars="200"/>
      <w:jc w:val="center"/>
    </w:pPr>
    <w:rPr>
      <w:rFonts w:ascii="宋体" w:hAnsi="宋体"/>
      <w:b/>
      <w:kern w:val="44"/>
      <w:sz w:val="4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rPr>
  </w:style>
  <w:style w:type="character" w:styleId="22">
    <w:name w:val="page number"/>
    <w:basedOn w:val="20"/>
    <w:qFormat/>
    <w:uiPriority w:val="0"/>
  </w:style>
  <w:style w:type="character" w:styleId="23">
    <w:name w:val="FollowedHyperlink"/>
    <w:basedOn w:val="20"/>
    <w:qFormat/>
    <w:uiPriority w:val="0"/>
    <w:rPr>
      <w:color w:val="800080"/>
      <w:u w:val="single"/>
    </w:rPr>
  </w:style>
  <w:style w:type="character" w:styleId="24">
    <w:name w:val="Hyperlink"/>
    <w:basedOn w:val="20"/>
    <w:qFormat/>
    <w:uiPriority w:val="0"/>
    <w:rPr>
      <w:color w:val="0000FF"/>
      <w:u w:val="single"/>
    </w:rPr>
  </w:style>
  <w:style w:type="character" w:styleId="25">
    <w:name w:val="annotation reference"/>
    <w:basedOn w:val="20"/>
    <w:qFormat/>
    <w:uiPriority w:val="0"/>
    <w:rPr>
      <w:sz w:val="21"/>
      <w:szCs w:val="21"/>
    </w:rPr>
  </w:style>
  <w:style w:type="paragraph" w:customStyle="1" w:styleId="26">
    <w:name w:val="Almq正文首行缩进"/>
    <w:basedOn w:val="1"/>
    <w:link w:val="96"/>
    <w:qFormat/>
    <w:uiPriority w:val="0"/>
    <w:pPr>
      <w:spacing w:line="440" w:lineRule="exact"/>
      <w:ind w:firstLine="720" w:firstLineChars="200"/>
      <w:jc w:val="both"/>
    </w:pPr>
    <w:rPr>
      <w:rFonts w:hint="eastAsia" w:cs="宋体"/>
    </w:rPr>
  </w:style>
  <w:style w:type="paragraph" w:customStyle="1" w:styleId="27">
    <w:name w:val="Almq小标题（1、2、3）"/>
    <w:basedOn w:val="1"/>
    <w:link w:val="133"/>
    <w:qFormat/>
    <w:uiPriority w:val="0"/>
    <w:pPr>
      <w:spacing w:line="640" w:lineRule="exact"/>
    </w:pPr>
    <w:rPr>
      <w:rFonts w:hint="eastAsia" w:cs="宋体"/>
      <w:b/>
    </w:rPr>
  </w:style>
  <w:style w:type="paragraph" w:customStyle="1" w:styleId="28">
    <w:name w:val="Almq表头居中"/>
    <w:basedOn w:val="1"/>
    <w:qFormat/>
    <w:uiPriority w:val="0"/>
    <w:pPr>
      <w:spacing w:line="440" w:lineRule="exact"/>
      <w:jc w:val="center"/>
    </w:pPr>
    <w:rPr>
      <w:rFonts w:hint="eastAsia" w:cs="宋体"/>
      <w:b/>
      <w:sz w:val="21"/>
    </w:rPr>
  </w:style>
  <w:style w:type="paragraph" w:customStyle="1" w:styleId="29">
    <w:name w:val="Almq表内居中"/>
    <w:basedOn w:val="1"/>
    <w:qFormat/>
    <w:uiPriority w:val="0"/>
    <w:pPr>
      <w:spacing w:line="400" w:lineRule="exact"/>
      <w:jc w:val="center"/>
    </w:pPr>
    <w:rPr>
      <w:rFonts w:cs="宋体"/>
      <w:sz w:val="21"/>
    </w:rPr>
  </w:style>
  <w:style w:type="paragraph" w:customStyle="1" w:styleId="30">
    <w:name w:val="Almq表内左对齐"/>
    <w:basedOn w:val="1"/>
    <w:qFormat/>
    <w:uiPriority w:val="0"/>
    <w:pPr>
      <w:spacing w:line="400" w:lineRule="exact"/>
    </w:pPr>
    <w:rPr>
      <w:rFonts w:cs="宋体"/>
      <w:sz w:val="21"/>
    </w:rPr>
  </w:style>
  <w:style w:type="paragraph" w:customStyle="1" w:styleId="31">
    <w:name w:val="Almq表内缩进"/>
    <w:basedOn w:val="1"/>
    <w:qFormat/>
    <w:uiPriority w:val="0"/>
    <w:pPr>
      <w:wordWrap w:val="0"/>
      <w:spacing w:line="400" w:lineRule="exact"/>
      <w:ind w:firstLine="720" w:firstLineChars="200"/>
    </w:pPr>
    <w:rPr>
      <w:rFonts w:cs="宋体"/>
      <w:sz w:val="21"/>
    </w:rPr>
  </w:style>
  <w:style w:type="paragraph" w:customStyle="1" w:styleId="32">
    <w:name w:val="BodyText1I2"/>
    <w:basedOn w:val="33"/>
    <w:link w:val="44"/>
    <w:qFormat/>
    <w:uiPriority w:val="0"/>
    <w:pPr>
      <w:ind w:firstLine="420" w:firstLineChars="200"/>
    </w:pPr>
  </w:style>
  <w:style w:type="paragraph" w:customStyle="1" w:styleId="33">
    <w:name w:val="BodyTextIndent"/>
    <w:basedOn w:val="1"/>
    <w:link w:val="43"/>
    <w:qFormat/>
    <w:uiPriority w:val="0"/>
    <w:pPr>
      <w:spacing w:after="120"/>
      <w:ind w:left="420" w:leftChars="200"/>
    </w:pPr>
  </w:style>
  <w:style w:type="paragraph" w:customStyle="1" w:styleId="34">
    <w:name w:val="Heading1"/>
    <w:basedOn w:val="1"/>
    <w:next w:val="1"/>
    <w:link w:val="45"/>
    <w:qFormat/>
    <w:uiPriority w:val="0"/>
    <w:rPr>
      <w:rFonts w:ascii="黑体" w:eastAsia="黑体"/>
      <w:sz w:val="52"/>
    </w:rPr>
  </w:style>
  <w:style w:type="paragraph" w:customStyle="1" w:styleId="35">
    <w:name w:val="Heading2"/>
    <w:basedOn w:val="1"/>
    <w:next w:val="1"/>
    <w:link w:val="46"/>
    <w:qFormat/>
    <w:uiPriority w:val="0"/>
    <w:pPr>
      <w:ind w:left="2840"/>
    </w:pPr>
    <w:rPr>
      <w:rFonts w:ascii="黑体" w:eastAsia="黑体"/>
      <w:sz w:val="48"/>
    </w:rPr>
  </w:style>
  <w:style w:type="paragraph" w:customStyle="1" w:styleId="36">
    <w:name w:val="Heading3"/>
    <w:basedOn w:val="1"/>
    <w:next w:val="1"/>
    <w:link w:val="47"/>
    <w:qFormat/>
    <w:uiPriority w:val="0"/>
    <w:rPr>
      <w:rFonts w:ascii="黑体" w:eastAsia="黑体"/>
      <w:sz w:val="36"/>
    </w:rPr>
  </w:style>
  <w:style w:type="paragraph" w:customStyle="1" w:styleId="37">
    <w:name w:val="Heading4"/>
    <w:basedOn w:val="1"/>
    <w:next w:val="1"/>
    <w:link w:val="48"/>
    <w:qFormat/>
    <w:uiPriority w:val="0"/>
    <w:pPr>
      <w:ind w:left="113"/>
    </w:pPr>
    <w:rPr>
      <w:rFonts w:ascii="黑体" w:eastAsia="黑体"/>
      <w:sz w:val="32"/>
    </w:rPr>
  </w:style>
  <w:style w:type="paragraph" w:customStyle="1" w:styleId="38">
    <w:name w:val="Heading5"/>
    <w:basedOn w:val="1"/>
    <w:next w:val="1"/>
    <w:link w:val="49"/>
    <w:qFormat/>
    <w:uiPriority w:val="0"/>
    <w:rPr>
      <w:rFonts w:ascii="黑体" w:eastAsia="黑体"/>
      <w:sz w:val="30"/>
    </w:rPr>
  </w:style>
  <w:style w:type="paragraph" w:customStyle="1" w:styleId="39">
    <w:name w:val="Heading6"/>
    <w:basedOn w:val="1"/>
    <w:next w:val="1"/>
    <w:link w:val="50"/>
    <w:qFormat/>
    <w:uiPriority w:val="0"/>
    <w:rPr>
      <w:rFonts w:ascii="黑体" w:eastAsia="黑体"/>
      <w:sz w:val="28"/>
    </w:rPr>
  </w:style>
  <w:style w:type="paragraph" w:customStyle="1" w:styleId="40">
    <w:name w:val="Heading7"/>
    <w:basedOn w:val="1"/>
    <w:next w:val="1"/>
    <w:link w:val="51"/>
    <w:qFormat/>
    <w:uiPriority w:val="0"/>
    <w:pPr>
      <w:ind w:left="113"/>
    </w:pPr>
    <w:rPr>
      <w:rFonts w:ascii="黑体" w:eastAsia="黑体"/>
    </w:rPr>
  </w:style>
  <w:style w:type="character" w:customStyle="1" w:styleId="41">
    <w:name w:val="NormalCharacter"/>
    <w:qFormat/>
    <w:uiPriority w:val="0"/>
  </w:style>
  <w:style w:type="table" w:customStyle="1" w:styleId="42">
    <w:name w:val="TableNormal"/>
    <w:qFormat/>
    <w:uiPriority w:val="0"/>
    <w:tblPr>
      <w:tblCellMar>
        <w:top w:w="0" w:type="dxa"/>
        <w:left w:w="0" w:type="dxa"/>
        <w:bottom w:w="0" w:type="dxa"/>
        <w:right w:w="0" w:type="dxa"/>
      </w:tblCellMar>
    </w:tblPr>
  </w:style>
  <w:style w:type="character" w:customStyle="1" w:styleId="43">
    <w:name w:val="UserStyle_0"/>
    <w:link w:val="33"/>
    <w:qFormat/>
    <w:locked/>
    <w:uiPriority w:val="0"/>
  </w:style>
  <w:style w:type="character" w:customStyle="1" w:styleId="44">
    <w:name w:val="UserStyle_1"/>
    <w:link w:val="32"/>
    <w:qFormat/>
    <w:locked/>
    <w:uiPriority w:val="0"/>
  </w:style>
  <w:style w:type="character" w:customStyle="1" w:styleId="45">
    <w:name w:val="UserStyle_2"/>
    <w:link w:val="34"/>
    <w:qFormat/>
    <w:locked/>
    <w:uiPriority w:val="0"/>
    <w:rPr>
      <w:b/>
      <w:kern w:val="44"/>
      <w:sz w:val="44"/>
    </w:rPr>
  </w:style>
  <w:style w:type="character" w:customStyle="1" w:styleId="46">
    <w:name w:val="UserStyle_3"/>
    <w:link w:val="35"/>
    <w:qFormat/>
    <w:locked/>
    <w:uiPriority w:val="0"/>
    <w:rPr>
      <w:rFonts w:ascii="Cambria" w:hAnsi="Cambria"/>
      <w:b/>
      <w:sz w:val="32"/>
    </w:rPr>
  </w:style>
  <w:style w:type="character" w:customStyle="1" w:styleId="47">
    <w:name w:val="UserStyle_4"/>
    <w:link w:val="36"/>
    <w:qFormat/>
    <w:locked/>
    <w:uiPriority w:val="0"/>
    <w:rPr>
      <w:b/>
      <w:sz w:val="32"/>
    </w:rPr>
  </w:style>
  <w:style w:type="character" w:customStyle="1" w:styleId="48">
    <w:name w:val="UserStyle_5"/>
    <w:link w:val="37"/>
    <w:qFormat/>
    <w:locked/>
    <w:uiPriority w:val="0"/>
    <w:rPr>
      <w:rFonts w:ascii="Cambria" w:hAnsi="Cambria"/>
      <w:b/>
      <w:sz w:val="28"/>
    </w:rPr>
  </w:style>
  <w:style w:type="character" w:customStyle="1" w:styleId="49">
    <w:name w:val="UserStyle_6"/>
    <w:link w:val="38"/>
    <w:qFormat/>
    <w:locked/>
    <w:uiPriority w:val="0"/>
    <w:rPr>
      <w:b/>
      <w:sz w:val="28"/>
    </w:rPr>
  </w:style>
  <w:style w:type="character" w:customStyle="1" w:styleId="50">
    <w:name w:val="UserStyle_7"/>
    <w:link w:val="39"/>
    <w:qFormat/>
    <w:locked/>
    <w:uiPriority w:val="0"/>
    <w:rPr>
      <w:rFonts w:ascii="Cambria" w:hAnsi="Cambria"/>
      <w:b/>
    </w:rPr>
  </w:style>
  <w:style w:type="character" w:customStyle="1" w:styleId="51">
    <w:name w:val="UserStyle_8"/>
    <w:link w:val="40"/>
    <w:qFormat/>
    <w:locked/>
    <w:uiPriority w:val="0"/>
    <w:rPr>
      <w:b/>
    </w:rPr>
  </w:style>
  <w:style w:type="paragraph" w:customStyle="1" w:styleId="52">
    <w:name w:val="NormalIndent"/>
    <w:basedOn w:val="1"/>
    <w:qFormat/>
    <w:uiPriority w:val="0"/>
    <w:pPr>
      <w:ind w:firstLine="420" w:firstLineChars="200"/>
      <w:jc w:val="both"/>
    </w:pPr>
    <w:rPr>
      <w:kern w:val="2"/>
      <w:sz w:val="21"/>
    </w:rPr>
  </w:style>
  <w:style w:type="paragraph" w:customStyle="1" w:styleId="53">
    <w:name w:val="AnnotationText"/>
    <w:basedOn w:val="1"/>
    <w:link w:val="54"/>
    <w:qFormat/>
    <w:uiPriority w:val="0"/>
    <w:rPr>
      <w:kern w:val="2"/>
      <w:sz w:val="21"/>
    </w:rPr>
  </w:style>
  <w:style w:type="character" w:customStyle="1" w:styleId="54">
    <w:name w:val="UserStyle_9"/>
    <w:link w:val="53"/>
    <w:qFormat/>
    <w:locked/>
    <w:uiPriority w:val="0"/>
  </w:style>
  <w:style w:type="paragraph" w:customStyle="1" w:styleId="55">
    <w:name w:val="BodyText"/>
    <w:basedOn w:val="1"/>
    <w:link w:val="56"/>
    <w:qFormat/>
    <w:uiPriority w:val="0"/>
    <w:pPr>
      <w:ind w:left="113"/>
    </w:pPr>
    <w:rPr>
      <w:rFonts w:ascii="宋体"/>
      <w:sz w:val="21"/>
    </w:rPr>
  </w:style>
  <w:style w:type="character" w:customStyle="1" w:styleId="56">
    <w:name w:val="UserStyle_10"/>
    <w:link w:val="55"/>
    <w:qFormat/>
    <w:locked/>
    <w:uiPriority w:val="0"/>
  </w:style>
  <w:style w:type="paragraph" w:customStyle="1" w:styleId="57">
    <w:name w:val="TOC3"/>
    <w:basedOn w:val="1"/>
    <w:next w:val="1"/>
    <w:qFormat/>
    <w:uiPriority w:val="0"/>
    <w:pPr>
      <w:ind w:left="840" w:leftChars="400"/>
    </w:pPr>
  </w:style>
  <w:style w:type="paragraph" w:customStyle="1" w:styleId="58">
    <w:name w:val="PlainText"/>
    <w:basedOn w:val="1"/>
    <w:link w:val="59"/>
    <w:qFormat/>
    <w:uiPriority w:val="0"/>
    <w:pPr>
      <w:jc w:val="both"/>
    </w:pPr>
    <w:rPr>
      <w:rFonts w:ascii="宋体" w:hAnsi="Courier New"/>
      <w:kern w:val="2"/>
      <w:sz w:val="21"/>
    </w:rPr>
  </w:style>
  <w:style w:type="character" w:customStyle="1" w:styleId="59">
    <w:name w:val="UserStyle_11"/>
    <w:link w:val="58"/>
    <w:qFormat/>
    <w:locked/>
    <w:uiPriority w:val="0"/>
    <w:rPr>
      <w:rFonts w:ascii="宋体" w:hAnsi="Courier New"/>
      <w:sz w:val="21"/>
    </w:rPr>
  </w:style>
  <w:style w:type="paragraph" w:customStyle="1" w:styleId="60">
    <w:name w:val="Acetate"/>
    <w:basedOn w:val="1"/>
    <w:link w:val="61"/>
    <w:qFormat/>
    <w:uiPriority w:val="0"/>
    <w:rPr>
      <w:sz w:val="18"/>
    </w:rPr>
  </w:style>
  <w:style w:type="character" w:customStyle="1" w:styleId="61">
    <w:name w:val="UserStyle_12"/>
    <w:link w:val="60"/>
    <w:qFormat/>
    <w:locked/>
    <w:uiPriority w:val="0"/>
    <w:rPr>
      <w:sz w:val="18"/>
    </w:rPr>
  </w:style>
  <w:style w:type="character" w:customStyle="1" w:styleId="62">
    <w:name w:val="页脚 Char"/>
    <w:link w:val="13"/>
    <w:autoRedefine/>
    <w:qFormat/>
    <w:locked/>
    <w:uiPriority w:val="0"/>
    <w:rPr>
      <w:sz w:val="18"/>
    </w:rPr>
  </w:style>
  <w:style w:type="character" w:customStyle="1" w:styleId="63">
    <w:name w:val="页眉 Char"/>
    <w:link w:val="14"/>
    <w:qFormat/>
    <w:locked/>
    <w:uiPriority w:val="0"/>
    <w:rPr>
      <w:sz w:val="18"/>
    </w:rPr>
  </w:style>
  <w:style w:type="paragraph" w:customStyle="1" w:styleId="64">
    <w:name w:val="TOC1"/>
    <w:basedOn w:val="1"/>
    <w:next w:val="1"/>
    <w:autoRedefine/>
    <w:qFormat/>
    <w:uiPriority w:val="0"/>
  </w:style>
  <w:style w:type="paragraph" w:customStyle="1" w:styleId="65">
    <w:name w:val="TOC6"/>
    <w:basedOn w:val="1"/>
    <w:next w:val="1"/>
    <w:qFormat/>
    <w:uiPriority w:val="0"/>
    <w:pPr>
      <w:ind w:left="840"/>
    </w:pPr>
    <w:rPr>
      <w:rFonts w:ascii="Calibri" w:hAnsi="Calibri"/>
      <w:kern w:val="2"/>
      <w:sz w:val="20"/>
    </w:rPr>
  </w:style>
  <w:style w:type="paragraph" w:customStyle="1" w:styleId="66">
    <w:name w:val="BodyTextIndent3"/>
    <w:basedOn w:val="1"/>
    <w:link w:val="67"/>
    <w:qFormat/>
    <w:uiPriority w:val="0"/>
    <w:pPr>
      <w:spacing w:after="120"/>
      <w:ind w:left="420" w:leftChars="200"/>
    </w:pPr>
    <w:rPr>
      <w:sz w:val="16"/>
      <w:szCs w:val="16"/>
    </w:rPr>
  </w:style>
  <w:style w:type="character" w:customStyle="1" w:styleId="67">
    <w:name w:val="UserStyle_15"/>
    <w:link w:val="66"/>
    <w:qFormat/>
    <w:uiPriority w:val="0"/>
    <w:rPr>
      <w:kern w:val="0"/>
      <w:sz w:val="16"/>
      <w:szCs w:val="16"/>
    </w:rPr>
  </w:style>
  <w:style w:type="paragraph" w:customStyle="1" w:styleId="68">
    <w:name w:val="TOC2"/>
    <w:basedOn w:val="1"/>
    <w:next w:val="1"/>
    <w:autoRedefine/>
    <w:qFormat/>
    <w:uiPriority w:val="0"/>
    <w:pPr>
      <w:ind w:left="420" w:leftChars="200"/>
    </w:pPr>
  </w:style>
  <w:style w:type="paragraph" w:customStyle="1" w:styleId="69">
    <w:name w:val="HtmlNormal"/>
    <w:basedOn w:val="1"/>
    <w:qFormat/>
    <w:uiPriority w:val="0"/>
    <w:pPr>
      <w:spacing w:before="100" w:beforeAutospacing="1" w:after="100" w:afterAutospacing="1"/>
    </w:pPr>
    <w:rPr>
      <w:rFonts w:ascii="宋体" w:hAnsi="宋体"/>
    </w:rPr>
  </w:style>
  <w:style w:type="paragraph" w:customStyle="1" w:styleId="70">
    <w:name w:val="Index1"/>
    <w:basedOn w:val="1"/>
    <w:next w:val="1"/>
    <w:qFormat/>
    <w:uiPriority w:val="0"/>
    <w:pPr>
      <w:jc w:val="both"/>
    </w:pPr>
    <w:rPr>
      <w:kern w:val="2"/>
      <w:sz w:val="21"/>
    </w:rPr>
  </w:style>
  <w:style w:type="character" w:customStyle="1" w:styleId="71">
    <w:name w:val="标题 Char"/>
    <w:link w:val="17"/>
    <w:qFormat/>
    <w:locked/>
    <w:uiPriority w:val="0"/>
    <w:rPr>
      <w:rFonts w:ascii="宋体" w:hAnsi="宋体"/>
      <w:b/>
      <w:kern w:val="44"/>
      <w:sz w:val="44"/>
    </w:rPr>
  </w:style>
  <w:style w:type="character" w:customStyle="1" w:styleId="72">
    <w:name w:val="UserStyle_17"/>
    <w:semiHidden/>
    <w:qFormat/>
    <w:uiPriority w:val="0"/>
    <w:rPr>
      <w:kern w:val="0"/>
      <w:sz w:val="18"/>
      <w:szCs w:val="18"/>
    </w:rPr>
  </w:style>
  <w:style w:type="character" w:customStyle="1" w:styleId="73">
    <w:name w:val="UserStyle_18"/>
    <w:qFormat/>
    <w:uiPriority w:val="0"/>
    <w:rPr>
      <w:rFonts w:ascii="Cambria" w:hAnsi="Cambria" w:cs="Times New Roman"/>
      <w:b/>
      <w:bCs/>
      <w:kern w:val="0"/>
      <w:sz w:val="32"/>
      <w:szCs w:val="32"/>
    </w:rPr>
  </w:style>
  <w:style w:type="character" w:customStyle="1" w:styleId="74">
    <w:name w:val="UserStyle_19"/>
    <w:autoRedefine/>
    <w:semiHidden/>
    <w:qFormat/>
    <w:uiPriority w:val="0"/>
    <w:rPr>
      <w:kern w:val="0"/>
      <w:sz w:val="24"/>
      <w:szCs w:val="24"/>
    </w:rPr>
  </w:style>
  <w:style w:type="character" w:customStyle="1" w:styleId="75">
    <w:name w:val="UserStyle_20"/>
    <w:semiHidden/>
    <w:qFormat/>
    <w:uiPriority w:val="0"/>
    <w:rPr>
      <w:kern w:val="0"/>
      <w:sz w:val="24"/>
      <w:szCs w:val="24"/>
    </w:rPr>
  </w:style>
  <w:style w:type="character" w:customStyle="1" w:styleId="76">
    <w:name w:val="374"/>
    <w:autoRedefine/>
    <w:qFormat/>
    <w:uiPriority w:val="0"/>
    <w:rPr>
      <w:color w:val="605E5C"/>
      <w:shd w:val="clear" w:color="auto" w:fill="E1DFDD"/>
    </w:rPr>
  </w:style>
  <w:style w:type="character" w:customStyle="1" w:styleId="77">
    <w:name w:val="UserStyle_21"/>
    <w:qFormat/>
    <w:uiPriority w:val="0"/>
    <w:rPr>
      <w:kern w:val="2"/>
    </w:rPr>
  </w:style>
  <w:style w:type="character" w:customStyle="1" w:styleId="78">
    <w:name w:val="UserStyle_22"/>
    <w:qFormat/>
    <w:uiPriority w:val="0"/>
    <w:rPr>
      <w:sz w:val="18"/>
    </w:rPr>
  </w:style>
  <w:style w:type="character" w:customStyle="1" w:styleId="79">
    <w:name w:val="UserStyle_23"/>
    <w:semiHidden/>
    <w:qFormat/>
    <w:uiPriority w:val="0"/>
    <w:rPr>
      <w:kern w:val="0"/>
      <w:sz w:val="24"/>
      <w:szCs w:val="24"/>
    </w:rPr>
  </w:style>
  <w:style w:type="character" w:customStyle="1" w:styleId="80">
    <w:name w:val="UserStyle_24"/>
    <w:semiHidden/>
    <w:qFormat/>
    <w:uiPriority w:val="0"/>
    <w:rPr>
      <w:kern w:val="0"/>
      <w:sz w:val="18"/>
      <w:szCs w:val="18"/>
    </w:rPr>
  </w:style>
  <w:style w:type="character" w:customStyle="1" w:styleId="81">
    <w:name w:val="UserStyle_25"/>
    <w:link w:val="82"/>
    <w:qFormat/>
    <w:locked/>
    <w:uiPriority w:val="0"/>
  </w:style>
  <w:style w:type="paragraph" w:customStyle="1" w:styleId="82">
    <w:name w:val="UserStyle_26"/>
    <w:basedOn w:val="1"/>
    <w:link w:val="81"/>
    <w:qFormat/>
    <w:uiPriority w:val="0"/>
    <w:pPr>
      <w:spacing w:line="360" w:lineRule="auto"/>
      <w:ind w:firstLine="200" w:firstLineChars="200"/>
      <w:jc w:val="both"/>
      <w:textAlignment w:val="center"/>
    </w:pPr>
    <w:rPr>
      <w:rFonts w:ascii="Calibri" w:hAnsi="Calibri"/>
      <w:kern w:val="2"/>
    </w:rPr>
  </w:style>
  <w:style w:type="character" w:customStyle="1" w:styleId="83">
    <w:name w:val="UserStyle_27"/>
    <w:semiHidden/>
    <w:qFormat/>
    <w:uiPriority w:val="0"/>
    <w:rPr>
      <w:rFonts w:ascii="宋体" w:hAnsi="Courier New"/>
      <w:kern w:val="0"/>
      <w:szCs w:val="21"/>
    </w:rPr>
  </w:style>
  <w:style w:type="character" w:customStyle="1" w:styleId="84">
    <w:name w:val="UserStyle_28"/>
    <w:semiHidden/>
    <w:qFormat/>
    <w:uiPriority w:val="0"/>
    <w:rPr>
      <w:kern w:val="0"/>
      <w:sz w:val="24"/>
      <w:szCs w:val="24"/>
    </w:rPr>
  </w:style>
  <w:style w:type="character" w:customStyle="1" w:styleId="85">
    <w:name w:val="UserStyle_29"/>
    <w:semiHidden/>
    <w:qFormat/>
    <w:uiPriority w:val="0"/>
    <w:rPr>
      <w:kern w:val="0"/>
      <w:sz w:val="18"/>
      <w:szCs w:val="18"/>
    </w:rPr>
  </w:style>
  <w:style w:type="character" w:customStyle="1" w:styleId="86">
    <w:name w:val="UserStyle_30"/>
    <w:semiHidden/>
    <w:qFormat/>
    <w:locked/>
    <w:uiPriority w:val="0"/>
    <w:rPr>
      <w:rFonts w:ascii="宋体" w:hAnsi="Courier New"/>
      <w:kern w:val="2"/>
      <w:sz w:val="21"/>
      <w:szCs w:val="21"/>
    </w:rPr>
  </w:style>
  <w:style w:type="character" w:customStyle="1" w:styleId="87">
    <w:name w:val="UserStyle_31"/>
    <w:autoRedefine/>
    <w:qFormat/>
    <w:uiPriority w:val="0"/>
    <w:rPr>
      <w:rFonts w:ascii="宋体" w:hAnsi="宋体" w:eastAsia="宋体"/>
      <w:color w:val="000000"/>
      <w:sz w:val="32"/>
      <w:szCs w:val="32"/>
    </w:rPr>
  </w:style>
  <w:style w:type="paragraph" w:customStyle="1" w:styleId="88">
    <w:name w:val="266"/>
    <w:basedOn w:val="34"/>
    <w:next w:val="1"/>
    <w:qFormat/>
    <w:uiPriority w:val="0"/>
    <w:pPr>
      <w:keepNext/>
      <w:keepLines/>
      <w:spacing w:before="480" w:line="276" w:lineRule="auto"/>
    </w:pPr>
    <w:rPr>
      <w:rFonts w:ascii="Cambria" w:hAnsi="Cambria" w:eastAsia="宋体"/>
      <w:b/>
      <w:color w:val="365F91"/>
      <w:sz w:val="28"/>
    </w:rPr>
  </w:style>
  <w:style w:type="paragraph" w:customStyle="1" w:styleId="89">
    <w:name w:val="UserStyle_32"/>
    <w:basedOn w:val="1"/>
    <w:qFormat/>
    <w:uiPriority w:val="0"/>
    <w:pPr>
      <w:jc w:val="both"/>
    </w:pPr>
    <w:rPr>
      <w:kern w:val="2"/>
      <w:sz w:val="21"/>
    </w:rPr>
  </w:style>
  <w:style w:type="paragraph" w:customStyle="1" w:styleId="90">
    <w:name w:val="UserStyle_33"/>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91">
    <w:name w:val="179"/>
    <w:basedOn w:val="1"/>
    <w:qFormat/>
    <w:uiPriority w:val="0"/>
  </w:style>
  <w:style w:type="paragraph" w:customStyle="1" w:styleId="92">
    <w:name w:val="UserStyle_34"/>
    <w:basedOn w:val="36"/>
    <w:qFormat/>
    <w:uiPriority w:val="0"/>
    <w:pPr>
      <w:keepNext/>
      <w:keepLines/>
      <w:spacing w:line="400" w:lineRule="exact"/>
      <w:jc w:val="both"/>
    </w:pPr>
    <w:rPr>
      <w:rFonts w:ascii="Times New Roman"/>
      <w:kern w:val="2"/>
      <w:sz w:val="24"/>
    </w:rPr>
  </w:style>
  <w:style w:type="paragraph" w:customStyle="1" w:styleId="93">
    <w:name w:val="178"/>
    <w:qFormat/>
    <w:uiPriority w:val="0"/>
    <w:pPr>
      <w:textAlignment w:val="baseline"/>
    </w:pPr>
    <w:rPr>
      <w:rFonts w:ascii="Times New Roman" w:hAnsi="Times New Roman" w:eastAsia="宋体" w:cstheme="minorBidi"/>
      <w:sz w:val="24"/>
      <w:szCs w:val="24"/>
      <w:lang w:val="en-US" w:eastAsia="zh-CN" w:bidi="ar-SA"/>
    </w:rPr>
  </w:style>
  <w:style w:type="paragraph" w:customStyle="1" w:styleId="94">
    <w:name w:val="UserStyle_35"/>
    <w:basedOn w:val="1"/>
    <w:qFormat/>
    <w:uiPriority w:val="0"/>
  </w:style>
  <w:style w:type="paragraph" w:customStyle="1" w:styleId="95">
    <w:name w:val="WPSOffice手动目录 1"/>
    <w:qFormat/>
    <w:uiPriority w:val="0"/>
    <w:rPr>
      <w:rFonts w:ascii="Times New Roman" w:hAnsi="Times New Roman" w:eastAsia="宋体" w:cstheme="minorBidi"/>
      <w:lang w:val="en-US" w:eastAsia="zh-CN" w:bidi="ar-SA"/>
    </w:rPr>
  </w:style>
  <w:style w:type="character" w:customStyle="1" w:styleId="96">
    <w:name w:val="Almq正文首行缩进 Char"/>
    <w:link w:val="26"/>
    <w:qFormat/>
    <w:uiPriority w:val="0"/>
    <w:rPr>
      <w:rFonts w:hint="eastAsia" w:cs="宋体"/>
      <w:sz w:val="24"/>
    </w:rPr>
  </w:style>
  <w:style w:type="table" w:customStyle="1" w:styleId="97">
    <w:name w:val="Table Normal"/>
    <w:unhideWhenUsed/>
    <w:qFormat/>
    <w:uiPriority w:val="0"/>
    <w:tblPr>
      <w:tblCellMar>
        <w:top w:w="0" w:type="dxa"/>
        <w:left w:w="0" w:type="dxa"/>
        <w:bottom w:w="0" w:type="dxa"/>
        <w:right w:w="0" w:type="dxa"/>
      </w:tblCellMar>
    </w:tblPr>
  </w:style>
  <w:style w:type="paragraph" w:customStyle="1" w:styleId="98">
    <w:name w:val="Normal_0_0_0"/>
    <w:qFormat/>
    <w:uiPriority w:val="0"/>
    <w:rPr>
      <w:rFonts w:ascii="Calibri" w:hAnsi="Calibri" w:eastAsia="Times New Roman" w:cs="Calibri"/>
      <w:sz w:val="24"/>
      <w:szCs w:val="24"/>
      <w:lang w:val="en-US" w:eastAsia="zh-CN" w:bidi="ar-SA"/>
    </w:rPr>
  </w:style>
  <w:style w:type="paragraph" w:customStyle="1" w:styleId="99">
    <w:name w:val="正文_0"/>
    <w:next w:val="100"/>
    <w:qFormat/>
    <w:uiPriority w:val="0"/>
    <w:pPr>
      <w:widowControl w:val="0"/>
      <w:jc w:val="both"/>
    </w:pPr>
    <w:rPr>
      <w:rFonts w:ascii="Calibri" w:hAnsi="Calibri" w:eastAsia="宋体" w:cs="Calibri"/>
      <w:kern w:val="2"/>
      <w:sz w:val="21"/>
      <w:szCs w:val="24"/>
      <w:lang w:val="en-US" w:eastAsia="zh-CN" w:bidi="ar-SA"/>
    </w:rPr>
  </w:style>
  <w:style w:type="paragraph" w:customStyle="1" w:styleId="100">
    <w:name w:val="正文首行缩进 2_0"/>
    <w:basedOn w:val="101"/>
    <w:qFormat/>
    <w:uiPriority w:val="0"/>
    <w:pPr>
      <w:ind w:firstLine="420" w:firstLineChars="200"/>
    </w:pPr>
    <w:rPr>
      <w:szCs w:val="20"/>
    </w:rPr>
  </w:style>
  <w:style w:type="paragraph" w:customStyle="1" w:styleId="101">
    <w:name w:val="正文文本缩进_0"/>
    <w:basedOn w:val="99"/>
    <w:qFormat/>
    <w:uiPriority w:val="99"/>
    <w:pPr>
      <w:spacing w:after="120"/>
      <w:ind w:left="420" w:leftChars="200"/>
    </w:pPr>
  </w:style>
  <w:style w:type="paragraph" w:customStyle="1" w:styleId="102">
    <w:name w:val="样式王_0"/>
    <w:basedOn w:val="99"/>
    <w:qFormat/>
    <w:uiPriority w:val="0"/>
  </w:style>
  <w:style w:type="paragraph" w:customStyle="1" w:styleId="103">
    <w:name w:val="正文_0_0_0_1"/>
    <w:next w:val="104"/>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4">
    <w:name w:val="正文文本首行缩进 2"/>
    <w:basedOn w:val="105"/>
    <w:qFormat/>
    <w:uiPriority w:val="0"/>
    <w:pPr>
      <w:ind w:firstLine="420" w:firstLineChars="200"/>
    </w:pPr>
    <w:rPr>
      <w:szCs w:val="20"/>
    </w:rPr>
  </w:style>
  <w:style w:type="paragraph" w:customStyle="1" w:styleId="105">
    <w:name w:val="正文_0_0"/>
    <w:next w:val="1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文本_0_0"/>
    <w:basedOn w:val="107"/>
    <w:unhideWhenUsed/>
    <w:qFormat/>
    <w:uiPriority w:val="99"/>
    <w:pPr>
      <w:spacing w:after="120"/>
    </w:pPr>
  </w:style>
  <w:style w:type="paragraph" w:customStyle="1" w:styleId="107">
    <w:name w:val="正文_0_1"/>
    <w:next w:val="1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_0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纯文本_0_0"/>
    <w:basedOn w:val="110"/>
    <w:qFormat/>
    <w:uiPriority w:val="0"/>
    <w:rPr>
      <w:rFonts w:ascii="宋体" w:hAnsi="Courier New"/>
      <w:szCs w:val="21"/>
    </w:rPr>
  </w:style>
  <w:style w:type="paragraph" w:customStyle="1" w:styleId="110">
    <w:name w:val="正文_0_0_1"/>
    <w:next w:val="10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纯文本_0"/>
    <w:basedOn w:val="99"/>
    <w:qFormat/>
    <w:uiPriority w:val="0"/>
    <w:rPr>
      <w:rFonts w:ascii="宋体" w:hAnsi="Courier New"/>
      <w:szCs w:val="21"/>
    </w:rPr>
  </w:style>
  <w:style w:type="paragraph" w:customStyle="1" w:styleId="112">
    <w:name w:val="纯文本4_0"/>
    <w:basedOn w:val="113"/>
    <w:qFormat/>
    <w:uiPriority w:val="0"/>
    <w:rPr>
      <w:rFonts w:ascii="宋体" w:hAnsi="Courier New"/>
      <w:szCs w:val="21"/>
    </w:rPr>
  </w:style>
  <w:style w:type="paragraph" w:customStyle="1" w:styleId="113">
    <w:name w:val="正文_3"/>
    <w:next w:val="104"/>
    <w:qFormat/>
    <w:uiPriority w:val="0"/>
    <w:pPr>
      <w:widowControl w:val="0"/>
      <w:jc w:val="both"/>
    </w:pPr>
    <w:rPr>
      <w:rFonts w:ascii="等线" w:hAnsi="等线" w:eastAsia="等线" w:cs="Times New Roman"/>
      <w:kern w:val="2"/>
      <w:sz w:val="21"/>
      <w:szCs w:val="22"/>
      <w:lang w:val="en-US" w:eastAsia="zh-CN" w:bidi="ar-SA"/>
    </w:rPr>
  </w:style>
  <w:style w:type="paragraph" w:customStyle="1" w:styleId="114">
    <w:name w:val="Normal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_0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Normal_4_1"/>
    <w:next w:val="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Body Text_2"/>
    <w:basedOn w:val="116"/>
    <w:qFormat/>
    <w:uiPriority w:val="1"/>
    <w:rPr>
      <w:rFonts w:ascii="宋体" w:hAnsi="宋体"/>
      <w:sz w:val="24"/>
    </w:rPr>
  </w:style>
  <w:style w:type="paragraph" w:customStyle="1" w:styleId="118">
    <w:name w:val="纯文本1"/>
    <w:basedOn w:val="113"/>
    <w:qFormat/>
    <w:uiPriority w:val="0"/>
    <w:rPr>
      <w:rFonts w:ascii="宋体" w:hAnsi="Courier New"/>
      <w:szCs w:val="21"/>
    </w:rPr>
  </w:style>
  <w:style w:type="paragraph" w:customStyle="1" w:styleId="119">
    <w:name w:val="_Style 435_0"/>
    <w:basedOn w:val="116"/>
    <w:next w:val="113"/>
    <w:qFormat/>
    <w:uiPriority w:val="34"/>
    <w:pPr>
      <w:spacing w:line="360" w:lineRule="auto"/>
      <w:ind w:firstLine="420"/>
    </w:pPr>
    <w:rPr>
      <w:sz w:val="24"/>
      <w:szCs w:val="20"/>
    </w:rPr>
  </w:style>
  <w:style w:type="paragraph" w:customStyle="1" w:styleId="120">
    <w:name w:val="正文文本_0"/>
    <w:basedOn w:val="113"/>
    <w:qFormat/>
    <w:uiPriority w:val="1"/>
    <w:rPr>
      <w:rFonts w:ascii="宋体" w:hAnsi="宋体" w:cs="宋体"/>
      <w:sz w:val="24"/>
      <w:szCs w:val="24"/>
    </w:rPr>
  </w:style>
  <w:style w:type="paragraph" w:customStyle="1" w:styleId="121">
    <w:name w:val="样式王_3"/>
    <w:basedOn w:val="113"/>
    <w:qFormat/>
    <w:uiPriority w:val="0"/>
  </w:style>
  <w:style w:type="paragraph" w:customStyle="1" w:styleId="122">
    <w:name w:val="正文_0_2"/>
    <w:next w:val="1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2"/>
    <w:qFormat/>
    <w:uiPriority w:val="0"/>
    <w:pPr>
      <w:widowControl w:val="0"/>
      <w:jc w:val="both"/>
    </w:pPr>
    <w:rPr>
      <w:rFonts w:ascii="Calibri" w:hAnsi="Calibri" w:eastAsia="宋体" w:cs="Calibri"/>
      <w:kern w:val="2"/>
      <w:sz w:val="21"/>
      <w:szCs w:val="24"/>
      <w:lang w:val="en-US" w:eastAsia="zh-CN" w:bidi="ar-SA"/>
    </w:rPr>
  </w:style>
  <w:style w:type="paragraph" w:customStyle="1" w:styleId="124">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列出段落1"/>
    <w:basedOn w:val="126"/>
    <w:qFormat/>
    <w:uiPriority w:val="0"/>
    <w:pPr>
      <w:ind w:firstLine="420" w:firstLineChars="200"/>
    </w:pPr>
    <w:rPr>
      <w:szCs w:val="22"/>
    </w:rPr>
  </w:style>
  <w:style w:type="paragraph" w:customStyle="1" w:styleId="128">
    <w:name w:val="Table Text"/>
    <w:basedOn w:val="1"/>
    <w:semiHidden/>
    <w:qFormat/>
    <w:uiPriority w:val="0"/>
    <w:rPr>
      <w:rFonts w:ascii="宋体" w:hAnsi="宋体" w:cs="宋体"/>
      <w:sz w:val="28"/>
      <w:szCs w:val="28"/>
      <w:lang w:eastAsia="en-US"/>
    </w:rPr>
  </w:style>
  <w:style w:type="paragraph" w:customStyle="1" w:styleId="129">
    <w:name w:val="Normal_1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HTML 预设格式1"/>
    <w:basedOn w:val="1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131">
    <w:name w:val="Footnote Reference_3"/>
    <w:qFormat/>
    <w:uiPriority w:val="0"/>
    <w:rPr>
      <w:rFonts w:ascii="Calibri" w:hAnsi="Calibri" w:eastAsia="宋体"/>
      <w:vertAlign w:val="superscript"/>
    </w:rPr>
  </w:style>
  <w:style w:type="paragraph" w:customStyle="1" w:styleId="132">
    <w:name w:val="Footnote Text_3"/>
    <w:basedOn w:val="129"/>
    <w:autoRedefine/>
    <w:qFormat/>
    <w:uiPriority w:val="0"/>
    <w:pPr>
      <w:snapToGrid w:val="0"/>
      <w:jc w:val="left"/>
    </w:pPr>
    <w:rPr>
      <w:sz w:val="18"/>
      <w:szCs w:val="18"/>
    </w:rPr>
  </w:style>
  <w:style w:type="character" w:customStyle="1" w:styleId="133">
    <w:name w:val="Almq小标题（1、2、3） Char"/>
    <w:link w:val="27"/>
    <w:qFormat/>
    <w:uiPriority w:val="0"/>
    <w:rPr>
      <w:rFonts w:hint="eastAsia" w:ascii="Times New Roman" w:hAnsi="Times New Roman" w:cs="宋体"/>
      <w:b/>
      <w:sz w:val="24"/>
    </w:rPr>
  </w:style>
  <w:style w:type="paragraph" w:customStyle="1" w:styleId="134">
    <w:name w:val="正文文本首行缩进 21"/>
    <w:basedOn w:val="3"/>
    <w:autoRedefine/>
    <w:unhideWhenUsed/>
    <w:qFormat/>
    <w:uiPriority w:val="99"/>
    <w:pPr>
      <w:ind w:firstLine="420"/>
    </w:pPr>
  </w:style>
  <w:style w:type="paragraph" w:customStyle="1" w:styleId="135">
    <w:name w:val="A正文"/>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136">
    <w:name w:val="批注框文本 Char"/>
    <w:basedOn w:val="20"/>
    <w:link w:val="12"/>
    <w:autoRedefine/>
    <w:qFormat/>
    <w:uiPriority w:val="0"/>
    <w:rPr>
      <w:rFonts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d1861c-596d-4e22-ba55-267bd09414d7}"/>
        <w:style w:val=""/>
        <w:category>
          <w:name w:val="常规"/>
          <w:gallery w:val="placeholder"/>
        </w:category>
        <w:types>
          <w:type w:val="bbPlcHdr"/>
        </w:types>
        <w:behaviors>
          <w:behavior w:val="content"/>
        </w:behaviors>
        <w:description w:val=""/>
        <w:guid w:val="{00D1861C-596D-4E22-BA55-267BD09414D7}"/>
      </w:docPartPr>
      <w:docPartBody>
        <w:p w14:paraId="78247618">
          <w:r>
            <w:rPr>
              <w:color w:val="808080"/>
            </w:rPr>
            <w:t>单击此处输入文字。</w:t>
          </w:r>
        </w:p>
      </w:docPartBody>
    </w:docPart>
    <w:docPart>
      <w:docPartPr>
        <w:name w:val="{de1ceb98-ed32-428c-8d25-04a43f524d20}"/>
        <w:style w:val=""/>
        <w:category>
          <w:name w:val="常规"/>
          <w:gallery w:val="placeholder"/>
        </w:category>
        <w:types>
          <w:type w:val="bbPlcHdr"/>
        </w:types>
        <w:behaviors>
          <w:behavior w:val="content"/>
        </w:behaviors>
        <w:description w:val=""/>
        <w:guid w:val="{DE1CEB98-ED32-428C-8D25-04A43F524D20}"/>
      </w:docPartPr>
      <w:docPartBody>
        <w:p w14:paraId="26199643">
          <w:r>
            <w:rPr>
              <w:color w:val="808080"/>
            </w:rPr>
            <w:t>单击此处输入文字。</w:t>
          </w:r>
        </w:p>
      </w:docPartBody>
    </w:docPart>
    <w:docPart>
      <w:docPartPr>
        <w:name w:val="{15f14fb6-a07c-4532-984e-f6afe8f443b4}"/>
        <w:style w:val=""/>
        <w:category>
          <w:name w:val="常规"/>
          <w:gallery w:val="placeholder"/>
        </w:category>
        <w:types>
          <w:type w:val="bbPlcHdr"/>
        </w:types>
        <w:behaviors>
          <w:behavior w:val="content"/>
        </w:behaviors>
        <w:description w:val=""/>
        <w:guid w:val="{15F14FB6-A07C-4532-984E-F6AFE8F443B4}"/>
      </w:docPartPr>
      <w:docPartBody>
        <w:p w14:paraId="152215BE">
          <w:r>
            <w:rPr>
              <w:color w:val="808080"/>
            </w:rPr>
            <w:t>单击此处输入文字。</w:t>
          </w:r>
        </w:p>
      </w:docPartBody>
    </w:docPart>
    <w:docPart>
      <w:docPartPr>
        <w:name w:val="{906be34a-5669-439c-b304-512ebacbbeaa}"/>
        <w:style w:val=""/>
        <w:category>
          <w:name w:val="常规"/>
          <w:gallery w:val="placeholder"/>
        </w:category>
        <w:types>
          <w:type w:val="bbPlcHdr"/>
        </w:types>
        <w:behaviors>
          <w:behavior w:val="content"/>
        </w:behaviors>
        <w:description w:val=""/>
        <w:guid w:val="{906BE34A-5669-439C-B304-512EBACBBEAA}"/>
      </w:docPartPr>
      <w:docPartBody>
        <w:p w14:paraId="3691010E">
          <w:r>
            <w:rPr>
              <w:color w:val="808080"/>
            </w:rPr>
            <w:t>单击此处输入文字。</w:t>
          </w:r>
        </w:p>
      </w:docPartBody>
    </w:docPart>
    <w:docPart>
      <w:docPartPr>
        <w:name w:val="{ac36d516-546e-49bb-8419-d24abf8540b0}"/>
        <w:style w:val=""/>
        <w:category>
          <w:name w:val="常规"/>
          <w:gallery w:val="placeholder"/>
        </w:category>
        <w:types>
          <w:type w:val="bbPlcHdr"/>
        </w:types>
        <w:behaviors>
          <w:behavior w:val="content"/>
        </w:behaviors>
        <w:description w:val=""/>
        <w:guid w:val="{AC36D516-546E-49BB-8419-D24ABF8540B0}"/>
      </w:docPartPr>
      <w:docPartBody>
        <w:p w14:paraId="794C45C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00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41257</Words>
  <Characters>43820</Characters>
  <Lines>348</Lines>
  <Paragraphs>98</Paragraphs>
  <TotalTime>1</TotalTime>
  <ScaleCrop>false</ScaleCrop>
  <LinksUpToDate>false</LinksUpToDate>
  <CharactersWithSpaces>46025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2022-10-09T10:28:00Z</dcterms:created>
  <dc:creator>SW</dc:creator>
  <cp:lastModifiedBy>可可Ker</cp:lastModifiedBy>
  <dcterms:modified xsi:type="dcterms:W3CDTF">2024-09-11T03:46:14Z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A2931E211AEE49A094180AC211A0BADC_13</vt:lpwstr>
  </property>
</Properties>
</file>