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 w:val="left" w:pos="525"/>
        </w:tabs>
        <w:snapToGrid w:val="0"/>
        <w:spacing w:line="360" w:lineRule="auto"/>
        <w:jc w:val="center"/>
        <w:outlineLvl w:val="1"/>
        <w:rPr>
          <w:rFonts w:ascii="宋体" w:hAnsi="宋体"/>
          <w:b/>
          <w:sz w:val="28"/>
          <w:szCs w:val="28"/>
          <w:highlight w:val="none"/>
        </w:rPr>
      </w:pPr>
      <w:bookmarkStart w:id="0" w:name="_GoBack"/>
      <w:bookmarkEnd w:id="0"/>
      <w:r>
        <w:rPr>
          <w:rFonts w:hint="eastAsia" w:ascii="宋体" w:hAnsi="宋体"/>
          <w:b/>
          <w:sz w:val="28"/>
          <w:szCs w:val="28"/>
          <w:highlight w:val="none"/>
        </w:rPr>
        <w:t>承诺及声明函</w:t>
      </w:r>
    </w:p>
    <w:p>
      <w:pPr>
        <w:tabs>
          <w:tab w:val="left" w:pos="5220"/>
          <w:tab w:val="left" w:pos="5400"/>
          <w:tab w:val="left" w:pos="5580"/>
        </w:tabs>
        <w:snapToGrid w:val="0"/>
        <w:spacing w:line="360" w:lineRule="auto"/>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四川汶马高速公路有限责任公司：</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我公司作为本次采购项目的响应人，根据竞争性谈判文件要求，现郑重承诺如下：</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一、具备《中华人民共和国政府采购法》第二十二条第一款和本项目规定的条件：</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（一）具有独立承担民事责任的能力；</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（二）具有良好的商业信誉和健全的财务会计制度；</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（三）具有履行合同所必需的设备、人员和专业技术能力；</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（四）有依法缴纳税收和社会保障资金的良好记录；</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（五）参加</w:t>
      </w:r>
      <w:r>
        <w:rPr>
          <w:rStyle w:val="12"/>
          <w:rFonts w:hint="eastAsia" w:ascii="宋体" w:hAnsi="宋体" w:eastAsia="宋体" w:cs="宋体"/>
          <w:sz w:val="24"/>
          <w:szCs w:val="24"/>
          <w:highlight w:val="none"/>
          <w:lang w:val="en-US" w:eastAsia="zh-CN"/>
        </w:rPr>
        <w:t>本次投标</w:t>
      </w:r>
      <w:r>
        <w:rPr>
          <w:rStyle w:val="12"/>
          <w:rFonts w:hint="eastAsia" w:ascii="宋体" w:hAnsi="宋体" w:eastAsia="宋体" w:cs="宋体"/>
          <w:sz w:val="24"/>
          <w:szCs w:val="24"/>
          <w:highlight w:val="none"/>
        </w:rPr>
        <w:t>活动前</w:t>
      </w:r>
      <w:r>
        <w:rPr>
          <w:rStyle w:val="12"/>
          <w:rFonts w:hint="eastAsia" w:ascii="宋体" w:hAnsi="宋体" w:eastAsia="宋体" w:cs="宋体"/>
          <w:sz w:val="24"/>
          <w:szCs w:val="24"/>
          <w:highlight w:val="none"/>
          <w:lang w:val="en-US" w:eastAsia="zh-CN"/>
        </w:rPr>
        <w:t>三</w:t>
      </w:r>
      <w:r>
        <w:rPr>
          <w:rStyle w:val="12"/>
          <w:rFonts w:hint="eastAsia" w:ascii="宋体" w:hAnsi="宋体" w:eastAsia="宋体" w:cs="宋体"/>
          <w:sz w:val="24"/>
          <w:szCs w:val="24"/>
          <w:highlight w:val="none"/>
        </w:rPr>
        <w:t>年内，在经营活动中没有重大违法记录；</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（六）法律、行政法规规定的其他条件；</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（七）根据采购项目提出的特殊条件。</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二、完全接受和满足本项目竞争性谈判文件中规定的实质性要求，如对竞争性谈判文件有异议，已经在递交</w:t>
      </w:r>
      <w:r>
        <w:rPr>
          <w:rStyle w:val="12"/>
          <w:rFonts w:hint="eastAsia" w:ascii="宋体" w:hAnsi="宋体" w:eastAsia="宋体" w:cs="宋体"/>
          <w:sz w:val="24"/>
          <w:szCs w:val="24"/>
          <w:highlight w:val="none"/>
          <w:lang w:val="en-US" w:eastAsia="zh-CN"/>
        </w:rPr>
        <w:t>投标</w:t>
      </w:r>
      <w:r>
        <w:rPr>
          <w:rStyle w:val="12"/>
          <w:rFonts w:hint="eastAsia" w:ascii="宋体" w:hAnsi="宋体" w:eastAsia="宋体" w:cs="宋体"/>
          <w:sz w:val="24"/>
          <w:szCs w:val="24"/>
          <w:highlight w:val="none"/>
        </w:rPr>
        <w:t>文件截止时间届满前依法进行维权救济，不存在对竞争性谈判文件有异议的同时又参加竞争性谈判以求侥幸中选或者为实现其他非法目的的行为。</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三、参加本次竞争性谈判采购活动，不存在与单位负责人为同一人或者存在直接控股、管理关系的其他</w:t>
      </w:r>
      <w:r>
        <w:rPr>
          <w:rStyle w:val="12"/>
          <w:rFonts w:hint="eastAsia" w:ascii="宋体" w:hAnsi="宋体" w:eastAsia="宋体" w:cs="宋体"/>
          <w:sz w:val="24"/>
          <w:szCs w:val="24"/>
          <w:highlight w:val="none"/>
          <w:lang w:eastAsia="zh-CN"/>
        </w:rPr>
        <w:t>响应人</w:t>
      </w:r>
      <w:r>
        <w:rPr>
          <w:rStyle w:val="12"/>
          <w:rFonts w:hint="eastAsia" w:ascii="宋体" w:hAnsi="宋体" w:eastAsia="宋体" w:cs="宋体"/>
          <w:sz w:val="24"/>
          <w:szCs w:val="24"/>
          <w:highlight w:val="none"/>
        </w:rPr>
        <w:t>参与同一合同项下的采购活动的行为。</w:t>
      </w:r>
    </w:p>
    <w:p>
      <w:pPr>
        <w:tabs>
          <w:tab w:val="left" w:pos="5220"/>
          <w:tab w:val="left" w:pos="5400"/>
          <w:tab w:val="left" w:pos="5580"/>
        </w:tabs>
        <w:snapToGrid w:val="0"/>
        <w:spacing w:line="360" w:lineRule="auto"/>
        <w:ind w:firstLine="480" w:firstLineChars="200"/>
        <w:jc w:val="left"/>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四、参加本次竞争性谈判采购活动，不存在和其他</w:t>
      </w:r>
      <w:r>
        <w:rPr>
          <w:rStyle w:val="12"/>
          <w:rFonts w:hint="eastAsia" w:ascii="宋体" w:hAnsi="宋体" w:eastAsia="宋体" w:cs="宋体"/>
          <w:sz w:val="24"/>
          <w:szCs w:val="24"/>
          <w:highlight w:val="none"/>
          <w:lang w:eastAsia="zh-CN"/>
        </w:rPr>
        <w:t>响应人</w:t>
      </w:r>
      <w:r>
        <w:rPr>
          <w:rStyle w:val="12"/>
          <w:rFonts w:hint="eastAsia" w:ascii="宋体" w:hAnsi="宋体" w:eastAsia="宋体" w:cs="宋体"/>
          <w:sz w:val="24"/>
          <w:szCs w:val="24"/>
          <w:highlight w:val="none"/>
        </w:rPr>
        <w:t>在同一合同项下的采购项目中，同时委托同一个自然人、同一家庭的人员、同一单位的人员作为代理人的行为。</w:t>
      </w:r>
    </w:p>
    <w:p>
      <w:pPr>
        <w:tabs>
          <w:tab w:val="left" w:pos="5220"/>
          <w:tab w:val="left" w:pos="5400"/>
          <w:tab w:val="left" w:pos="5580"/>
        </w:tabs>
        <w:snapToGrid w:val="0"/>
        <w:spacing w:line="360" w:lineRule="auto"/>
        <w:ind w:firstLine="480" w:firstLineChars="200"/>
        <w:jc w:val="left"/>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lang w:val="en-US" w:eastAsia="zh-CN"/>
        </w:rPr>
        <w:t>五、</w:t>
      </w:r>
      <w:r>
        <w:rPr>
          <w:rStyle w:val="12"/>
          <w:rFonts w:hint="eastAsia" w:ascii="宋体" w:hAnsi="宋体" w:eastAsia="宋体" w:cs="宋体"/>
          <w:sz w:val="24"/>
          <w:szCs w:val="24"/>
          <w:highlight w:val="none"/>
        </w:rPr>
        <w:t>本</w:t>
      </w:r>
      <w:r>
        <w:rPr>
          <w:rStyle w:val="12"/>
          <w:rFonts w:hint="eastAsia" w:ascii="宋体" w:hAnsi="宋体" w:eastAsia="宋体" w:cs="宋体"/>
          <w:sz w:val="24"/>
          <w:szCs w:val="24"/>
          <w:highlight w:val="none"/>
          <w:lang w:val="en-US" w:eastAsia="zh-CN"/>
        </w:rPr>
        <w:t>投标</w:t>
      </w:r>
      <w:r>
        <w:rPr>
          <w:rStyle w:val="12"/>
          <w:rFonts w:hint="eastAsia" w:ascii="宋体" w:hAnsi="宋体" w:eastAsia="宋体" w:cs="宋体"/>
          <w:sz w:val="24"/>
          <w:szCs w:val="24"/>
          <w:highlight w:val="none"/>
        </w:rPr>
        <w:t>人没有作为</w:t>
      </w:r>
      <w:r>
        <w:rPr>
          <w:rStyle w:val="12"/>
          <w:rFonts w:hint="eastAsia" w:ascii="宋体" w:hAnsi="宋体" w:eastAsia="宋体" w:cs="宋体"/>
          <w:sz w:val="24"/>
          <w:szCs w:val="24"/>
          <w:highlight w:val="none"/>
          <w:lang w:val="en-US" w:eastAsia="zh-CN"/>
        </w:rPr>
        <w:t>本案</w:t>
      </w:r>
      <w:r>
        <w:rPr>
          <w:rStyle w:val="12"/>
          <w:rFonts w:hint="eastAsia" w:ascii="宋体" w:hAnsi="宋体" w:eastAsia="宋体" w:cs="宋体"/>
          <w:sz w:val="24"/>
          <w:szCs w:val="24"/>
          <w:highlight w:val="none"/>
        </w:rPr>
        <w:t>诉讼项目</w:t>
      </w:r>
      <w:r>
        <w:rPr>
          <w:rStyle w:val="12"/>
          <w:rFonts w:hint="eastAsia" w:ascii="宋体" w:hAnsi="宋体" w:eastAsia="宋体" w:cs="宋体"/>
          <w:sz w:val="24"/>
          <w:szCs w:val="24"/>
          <w:highlight w:val="none"/>
          <w:lang w:val="en-US" w:eastAsia="zh-CN"/>
        </w:rPr>
        <w:t>相对</w:t>
      </w:r>
      <w:r>
        <w:rPr>
          <w:rStyle w:val="12"/>
          <w:rFonts w:hint="eastAsia" w:ascii="宋体" w:hAnsi="宋体" w:eastAsia="宋体" w:cs="宋体"/>
          <w:sz w:val="24"/>
          <w:szCs w:val="24"/>
          <w:highlight w:val="none"/>
        </w:rPr>
        <w:t>方的代理方。</w:t>
      </w:r>
    </w:p>
    <w:p>
      <w:pPr>
        <w:tabs>
          <w:tab w:val="left" w:pos="5220"/>
          <w:tab w:val="left" w:pos="5400"/>
          <w:tab w:val="left" w:pos="5580"/>
        </w:tabs>
        <w:snapToGrid w:val="0"/>
        <w:spacing w:line="360" w:lineRule="auto"/>
        <w:ind w:firstLine="480" w:firstLineChars="200"/>
        <w:jc w:val="left"/>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lang w:val="en-US" w:eastAsia="zh-CN"/>
        </w:rPr>
        <w:t>六</w:t>
      </w:r>
      <w:r>
        <w:rPr>
          <w:rStyle w:val="12"/>
          <w:rFonts w:hint="eastAsia" w:ascii="宋体" w:hAnsi="宋体" w:eastAsia="宋体" w:cs="宋体"/>
          <w:sz w:val="24"/>
          <w:szCs w:val="24"/>
          <w:highlight w:val="none"/>
        </w:rPr>
        <w:t>、本</w:t>
      </w:r>
      <w:r>
        <w:rPr>
          <w:rStyle w:val="12"/>
          <w:rFonts w:hint="eastAsia" w:ascii="宋体" w:hAnsi="宋体" w:eastAsia="宋体" w:cs="宋体"/>
          <w:sz w:val="24"/>
          <w:szCs w:val="24"/>
          <w:highlight w:val="none"/>
          <w:lang w:val="en-US" w:eastAsia="zh-CN"/>
        </w:rPr>
        <w:t>投标</w:t>
      </w:r>
      <w:r>
        <w:rPr>
          <w:rStyle w:val="12"/>
          <w:rFonts w:hint="eastAsia" w:ascii="宋体" w:hAnsi="宋体" w:eastAsia="宋体" w:cs="宋体"/>
          <w:sz w:val="24"/>
          <w:szCs w:val="24"/>
          <w:highlight w:val="none"/>
        </w:rPr>
        <w:t>人在参加此项目竞标前，没有被纳入法院、工商行政管理部门、税务部门、银行认定的失信名单，且在前三年服务合同履约过程中及其他经营活动良好履约，没有违法记录。</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lang w:val="en-US" w:eastAsia="zh-CN"/>
        </w:rPr>
        <w:t>七</w:t>
      </w:r>
      <w:r>
        <w:rPr>
          <w:rStyle w:val="12"/>
          <w:rFonts w:hint="eastAsia" w:ascii="宋体" w:hAnsi="宋体" w:eastAsia="宋体" w:cs="宋体"/>
          <w:sz w:val="24"/>
          <w:szCs w:val="24"/>
          <w:highlight w:val="none"/>
        </w:rPr>
        <w:t>、</w:t>
      </w:r>
      <w:r>
        <w:rPr>
          <w:rStyle w:val="12"/>
          <w:rFonts w:hint="eastAsia" w:ascii="宋体" w:hAnsi="宋体" w:eastAsia="宋体" w:cs="宋体"/>
          <w:sz w:val="24"/>
          <w:szCs w:val="24"/>
          <w:highlight w:val="none"/>
          <w:lang w:val="en-US" w:eastAsia="zh-CN"/>
        </w:rPr>
        <w:t>投标</w:t>
      </w:r>
      <w:r>
        <w:rPr>
          <w:rStyle w:val="12"/>
          <w:rFonts w:hint="eastAsia" w:ascii="宋体" w:hAnsi="宋体" w:eastAsia="宋体" w:cs="宋体"/>
          <w:sz w:val="24"/>
          <w:szCs w:val="24"/>
          <w:highlight w:val="none"/>
        </w:rPr>
        <w:t>文件中提供的能够给予采购人带来优惠、好处的任何材料资料和技术、服务、商务等响应承诺情况都是真实的、有效的、合法的。</w:t>
      </w:r>
    </w:p>
    <w:p>
      <w:pPr>
        <w:tabs>
          <w:tab w:val="left" w:pos="5220"/>
          <w:tab w:val="left" w:pos="5400"/>
          <w:tab w:val="left" w:pos="5580"/>
        </w:tabs>
        <w:snapToGrid w:val="0"/>
        <w:spacing w:line="360" w:lineRule="auto"/>
        <w:ind w:firstLine="480" w:firstLineChars="200"/>
        <w:jc w:val="left"/>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lang w:val="en-US" w:eastAsia="zh-CN"/>
        </w:rPr>
        <w:t>八</w:t>
      </w:r>
      <w:r>
        <w:rPr>
          <w:rStyle w:val="12"/>
          <w:rFonts w:hint="eastAsia" w:ascii="宋体" w:hAnsi="宋体" w:eastAsia="宋体" w:cs="宋体"/>
          <w:sz w:val="24"/>
          <w:szCs w:val="24"/>
          <w:highlight w:val="none"/>
        </w:rPr>
        <w:t>、在</w:t>
      </w:r>
      <w:r>
        <w:rPr>
          <w:rStyle w:val="12"/>
          <w:rFonts w:hint="eastAsia" w:ascii="宋体" w:hAnsi="宋体" w:eastAsia="宋体" w:cs="宋体"/>
          <w:sz w:val="24"/>
          <w:szCs w:val="24"/>
          <w:highlight w:val="none"/>
          <w:lang w:val="en-US" w:eastAsia="zh-CN"/>
        </w:rPr>
        <w:t>投标</w:t>
      </w:r>
      <w:r>
        <w:rPr>
          <w:rStyle w:val="12"/>
          <w:rFonts w:hint="eastAsia" w:ascii="宋体" w:hAnsi="宋体" w:eastAsia="宋体" w:cs="宋体"/>
          <w:sz w:val="24"/>
          <w:szCs w:val="24"/>
          <w:highlight w:val="none"/>
        </w:rPr>
        <w:t>文件递交截止日前，未被列入“信用中国”网站(www.creditchina.gov.cn)中列入失信被执行人和重大税收违法案件当事人名单</w:t>
      </w:r>
      <w:r>
        <w:rPr>
          <w:rStyle w:val="12"/>
          <w:rFonts w:hint="eastAsia" w:ascii="宋体" w:hAnsi="宋体" w:eastAsia="宋体" w:cs="宋体"/>
          <w:sz w:val="24"/>
          <w:szCs w:val="24"/>
          <w:highlight w:val="none"/>
          <w:lang w:val="en-US" w:eastAsia="zh-CN"/>
        </w:rPr>
        <w:t>的响应人</w:t>
      </w:r>
      <w:r>
        <w:rPr>
          <w:rStyle w:val="12"/>
          <w:rFonts w:hint="eastAsia" w:ascii="宋体" w:hAnsi="宋体" w:eastAsia="宋体" w:cs="宋体"/>
          <w:sz w:val="24"/>
          <w:szCs w:val="24"/>
          <w:highlight w:val="none"/>
        </w:rPr>
        <w:t>，未被列入“中国政府采购网”网站(www.ccgp.gov.cn)采购严重违法失信行为记录名单中被财政部门禁止参加采购活动</w:t>
      </w:r>
      <w:r>
        <w:rPr>
          <w:rStyle w:val="12"/>
          <w:rFonts w:hint="eastAsia" w:ascii="宋体" w:hAnsi="宋体" w:eastAsia="宋体" w:cs="宋体"/>
          <w:sz w:val="24"/>
          <w:szCs w:val="24"/>
          <w:highlight w:val="none"/>
          <w:lang w:val="en-US" w:eastAsia="zh-CN"/>
        </w:rPr>
        <w:t>的响应人</w:t>
      </w:r>
      <w:r>
        <w:rPr>
          <w:rStyle w:val="12"/>
          <w:rFonts w:hint="eastAsia" w:ascii="宋体" w:hAnsi="宋体" w:eastAsia="宋体" w:cs="宋体"/>
          <w:sz w:val="24"/>
          <w:szCs w:val="24"/>
          <w:highlight w:val="none"/>
        </w:rPr>
        <w:t>(处罚决定规定的时间和地域范围内)。</w:t>
      </w:r>
    </w:p>
    <w:p>
      <w:pPr>
        <w:pStyle w:val="5"/>
        <w:spacing w:line="360" w:lineRule="auto"/>
        <w:ind w:firstLine="480" w:firstLineChars="200"/>
        <w:rPr>
          <w:rFonts w:hint="eastAsia" w:ascii="宋体" w:hAnsi="宋体" w:eastAsia="宋体" w:cs="宋体"/>
          <w:color w:val="auto"/>
          <w:sz w:val="24"/>
          <w:szCs w:val="24"/>
          <w:highlight w:val="none"/>
        </w:rPr>
      </w:pPr>
      <w:r>
        <w:rPr>
          <w:rStyle w:val="12"/>
          <w:rFonts w:hint="eastAsia" w:ascii="宋体" w:hAnsi="宋体" w:eastAsia="宋体" w:cs="宋体"/>
          <w:color w:val="auto"/>
          <w:kern w:val="2"/>
          <w:sz w:val="24"/>
          <w:szCs w:val="24"/>
          <w:highlight w:val="none"/>
          <w:lang w:val="en-US" w:eastAsia="zh-CN" w:bidi="ar-SA"/>
        </w:rPr>
        <w:t>九、未经甲方书面同意，决不以任何方式、任何时间对他人泄露本项目的任何信息，决不为其他目的而使用本项目的任何信息，决不以任何方式、任何时间转移含有本项目信息的任何形式的资料。（本条长期有效）</w:t>
      </w:r>
    </w:p>
    <w:p>
      <w:pPr>
        <w:tabs>
          <w:tab w:val="left" w:pos="5220"/>
          <w:tab w:val="left" w:pos="5400"/>
          <w:tab w:val="left" w:pos="5580"/>
        </w:tabs>
        <w:snapToGrid w:val="0"/>
        <w:spacing w:line="360" w:lineRule="auto"/>
        <w:ind w:firstLine="480" w:firstLineChars="200"/>
        <w:rPr>
          <w:rStyle w:val="12"/>
          <w:rFonts w:hint="eastAsia" w:ascii="宋体" w:hAnsi="宋体" w:eastAsia="宋体" w:cs="宋体"/>
          <w:sz w:val="24"/>
          <w:szCs w:val="24"/>
          <w:highlight w:val="none"/>
        </w:rPr>
      </w:pPr>
      <w:r>
        <w:rPr>
          <w:rStyle w:val="12"/>
          <w:rFonts w:hint="eastAsia" w:ascii="宋体" w:hAnsi="宋体" w:eastAsia="宋体" w:cs="宋体"/>
          <w:sz w:val="24"/>
          <w:szCs w:val="24"/>
          <w:highlight w:val="none"/>
        </w:rPr>
        <w:t>本公司对上述承诺的内容事项真实性负责。如经查实上述承诺的内容事项存在虚假，我公司愿意接受以提供虚假资料谋取中选的法律责任。</w:t>
      </w:r>
    </w:p>
    <w:p>
      <w:pPr>
        <w:pStyle w:val="6"/>
        <w:rPr>
          <w:rStyle w:val="12"/>
          <w:rFonts w:hint="eastAsia" w:ascii="宋体" w:hAnsi="宋体" w:eastAsia="宋体" w:cs="宋体"/>
          <w:sz w:val="24"/>
          <w:szCs w:val="24"/>
          <w:highlight w:val="none"/>
        </w:rPr>
      </w:pPr>
    </w:p>
    <w:p>
      <w:pPr>
        <w:rPr>
          <w:rStyle w:val="12"/>
          <w:rFonts w:hint="eastAsia" w:ascii="宋体" w:hAnsi="宋体" w:eastAsia="宋体" w:cs="宋体"/>
          <w:sz w:val="24"/>
          <w:szCs w:val="24"/>
          <w:highlight w:val="none"/>
        </w:rPr>
      </w:pPr>
    </w:p>
    <w:p>
      <w:pPr>
        <w:pStyle w:val="6"/>
        <w:rPr>
          <w:rStyle w:val="12"/>
          <w:rFonts w:hint="eastAsia" w:ascii="宋体" w:hAnsi="宋体" w:eastAsia="宋体" w:cs="宋体"/>
          <w:sz w:val="24"/>
          <w:szCs w:val="24"/>
          <w:highlight w:val="none"/>
        </w:rPr>
      </w:pPr>
    </w:p>
    <w:p>
      <w:pPr>
        <w:rPr>
          <w:rStyle w:val="12"/>
          <w:rFonts w:hint="eastAsia" w:ascii="宋体" w:hAnsi="宋体" w:eastAsia="宋体" w:cs="宋体"/>
          <w:sz w:val="24"/>
          <w:szCs w:val="24"/>
          <w:highlight w:val="none"/>
        </w:rPr>
      </w:pPr>
    </w:p>
    <w:p>
      <w:pPr>
        <w:pStyle w:val="6"/>
        <w:rPr>
          <w:rFonts w:hint="eastAsia" w:ascii="宋体" w:hAnsi="宋体" w:eastAsia="宋体" w:cs="宋体"/>
          <w:sz w:val="24"/>
          <w:szCs w:val="24"/>
          <w:highlight w:val="none"/>
        </w:rPr>
      </w:pPr>
    </w:p>
    <w:p>
      <w:pPr>
        <w:pStyle w:val="6"/>
        <w:rPr>
          <w:rFonts w:hint="eastAsia" w:ascii="宋体" w:hAnsi="宋体" w:eastAsia="宋体" w:cs="宋体"/>
          <w:sz w:val="24"/>
          <w:szCs w:val="24"/>
        </w:rPr>
      </w:pPr>
    </w:p>
    <w:p>
      <w:pPr>
        <w:tabs>
          <w:tab w:val="left" w:pos="5220"/>
          <w:tab w:val="left" w:pos="5400"/>
          <w:tab w:val="left" w:pos="5580"/>
        </w:tabs>
        <w:snapToGrid w:val="0"/>
        <w:spacing w:line="360" w:lineRule="auto"/>
        <w:ind w:firstLine="480" w:firstLineChars="200"/>
        <w:jc w:val="center"/>
        <w:rPr>
          <w:rStyle w:val="12"/>
          <w:rFonts w:hint="eastAsia" w:ascii="宋体" w:hAnsi="宋体" w:eastAsia="宋体" w:cs="宋体"/>
          <w:sz w:val="24"/>
          <w:szCs w:val="24"/>
        </w:rPr>
      </w:pPr>
      <w:r>
        <w:rPr>
          <w:rStyle w:val="12"/>
          <w:rFonts w:hint="eastAsia" w:ascii="宋体" w:hAnsi="宋体" w:eastAsia="宋体" w:cs="宋体"/>
          <w:sz w:val="24"/>
          <w:szCs w:val="24"/>
        </w:rPr>
        <w:t xml:space="preserve">                       </w:t>
      </w:r>
      <w:r>
        <w:rPr>
          <w:rStyle w:val="12"/>
          <w:rFonts w:hint="eastAsia" w:ascii="宋体" w:hAnsi="宋体" w:eastAsia="宋体" w:cs="宋体"/>
          <w:sz w:val="24"/>
          <w:szCs w:val="24"/>
          <w:lang w:val="en-US" w:eastAsia="zh-CN"/>
        </w:rPr>
        <w:t>投标</w:t>
      </w:r>
      <w:r>
        <w:rPr>
          <w:rStyle w:val="12"/>
          <w:rFonts w:hint="eastAsia" w:ascii="宋体" w:hAnsi="宋体" w:eastAsia="宋体" w:cs="宋体"/>
          <w:sz w:val="24"/>
          <w:szCs w:val="24"/>
        </w:rPr>
        <w:t>人名称：（单位公章）</w:t>
      </w:r>
    </w:p>
    <w:p>
      <w:pPr>
        <w:tabs>
          <w:tab w:val="left" w:pos="5220"/>
          <w:tab w:val="left" w:pos="5400"/>
          <w:tab w:val="left" w:pos="5580"/>
        </w:tabs>
        <w:snapToGrid w:val="0"/>
        <w:spacing w:line="360" w:lineRule="auto"/>
        <w:ind w:firstLine="480" w:firstLineChars="200"/>
        <w:jc w:val="center"/>
        <w:rPr>
          <w:rStyle w:val="12"/>
          <w:rFonts w:hint="eastAsia" w:ascii="宋体" w:hAnsi="宋体" w:eastAsia="宋体" w:cs="宋体"/>
          <w:sz w:val="24"/>
          <w:szCs w:val="24"/>
        </w:rPr>
      </w:pPr>
      <w:r>
        <w:rPr>
          <w:rStyle w:val="12"/>
          <w:rFonts w:hint="eastAsia" w:ascii="宋体" w:hAnsi="宋体" w:eastAsia="宋体" w:cs="宋体"/>
          <w:sz w:val="24"/>
          <w:szCs w:val="24"/>
        </w:rPr>
        <w:t xml:space="preserve">                             法定代表人或授权代表（签字）：</w:t>
      </w:r>
    </w:p>
    <w:p>
      <w:pPr>
        <w:tabs>
          <w:tab w:val="left" w:pos="5220"/>
          <w:tab w:val="left" w:pos="5400"/>
          <w:tab w:val="left" w:pos="5580"/>
        </w:tabs>
        <w:snapToGrid w:val="0"/>
        <w:spacing w:line="360" w:lineRule="auto"/>
        <w:ind w:firstLine="480" w:firstLineChars="200"/>
        <w:jc w:val="center"/>
        <w:rPr>
          <w:rStyle w:val="12"/>
          <w:rFonts w:hint="eastAsia" w:ascii="宋体" w:hAnsi="宋体" w:eastAsia="宋体" w:cs="宋体"/>
          <w:sz w:val="24"/>
          <w:szCs w:val="24"/>
        </w:rPr>
      </w:pPr>
      <w:r>
        <w:rPr>
          <w:rStyle w:val="12"/>
          <w:rFonts w:hint="eastAsia" w:ascii="宋体" w:hAnsi="宋体" w:eastAsia="宋体" w:cs="宋体"/>
          <w:sz w:val="24"/>
          <w:szCs w:val="24"/>
        </w:rPr>
        <w:t xml:space="preserve">         日    期：</w:t>
      </w:r>
    </w:p>
    <w:p>
      <w:pPr>
        <w:widowControl/>
        <w:jc w:val="center"/>
        <w:rPr>
          <w:rFonts w:hint="eastAsia" w:ascii="宋体" w:hAnsi="宋体"/>
          <w:color w:val="000000"/>
          <w:sz w:val="24"/>
          <w:highlight w:val="none"/>
          <w:lang w:val="en-US" w:eastAsia="zh-CN"/>
        </w:rPr>
      </w:pPr>
    </w:p>
    <w:p>
      <w:pPr>
        <w:widowControl/>
        <w:jc w:val="center"/>
        <w:rPr>
          <w:rFonts w:hint="eastAsia" w:ascii="宋体" w:hAnsi="宋体"/>
          <w:color w:val="000000"/>
          <w:sz w:val="24"/>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7A"/>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3"/>
      <w:suff w:val="nothing"/>
      <w:lvlText w:val="第%1章"/>
      <w:lvlJc w:val="left"/>
      <w:pPr>
        <w:ind w:left="142" w:firstLine="0"/>
      </w:pPr>
    </w:lvl>
    <w:lvl w:ilvl="1" w:tentative="0">
      <w:start w:val="1"/>
      <w:numFmt w:val="none"/>
      <w:suff w:val="nothing"/>
      <w:lvlText w:val=""/>
      <w:lvlJc w:val="left"/>
      <w:pPr>
        <w:ind w:left="142" w:firstLine="0"/>
      </w:pPr>
    </w:lvl>
    <w:lvl w:ilvl="2" w:tentative="0">
      <w:start w:val="1"/>
      <w:numFmt w:val="none"/>
      <w:suff w:val="nothing"/>
      <w:lvlText w:val=""/>
      <w:lvlJc w:val="left"/>
      <w:pPr>
        <w:ind w:left="142" w:firstLine="0"/>
      </w:pPr>
    </w:lvl>
    <w:lvl w:ilvl="3" w:tentative="0">
      <w:start w:val="1"/>
      <w:numFmt w:val="none"/>
      <w:suff w:val="nothing"/>
      <w:lvlText w:val=""/>
      <w:lvlJc w:val="left"/>
      <w:pPr>
        <w:ind w:left="142" w:firstLine="0"/>
      </w:pPr>
    </w:lvl>
    <w:lvl w:ilvl="4" w:tentative="0">
      <w:start w:val="1"/>
      <w:numFmt w:val="none"/>
      <w:suff w:val="nothing"/>
      <w:lvlText w:val=""/>
      <w:lvlJc w:val="left"/>
      <w:pPr>
        <w:ind w:left="142" w:firstLine="0"/>
      </w:pPr>
    </w:lvl>
    <w:lvl w:ilvl="5" w:tentative="0">
      <w:start w:val="1"/>
      <w:numFmt w:val="none"/>
      <w:suff w:val="nothing"/>
      <w:lvlText w:val=""/>
      <w:lvlJc w:val="left"/>
      <w:pPr>
        <w:ind w:left="142" w:firstLine="0"/>
      </w:pPr>
    </w:lvl>
    <w:lvl w:ilvl="6" w:tentative="0">
      <w:start w:val="1"/>
      <w:numFmt w:val="none"/>
      <w:suff w:val="nothing"/>
      <w:lvlText w:val=""/>
      <w:lvlJc w:val="left"/>
      <w:pPr>
        <w:ind w:left="142" w:firstLine="0"/>
      </w:pPr>
    </w:lvl>
    <w:lvl w:ilvl="7" w:tentative="0">
      <w:start w:val="1"/>
      <w:numFmt w:val="none"/>
      <w:suff w:val="nothing"/>
      <w:lvlText w:val=""/>
      <w:lvlJc w:val="left"/>
      <w:pPr>
        <w:ind w:left="142" w:firstLine="0"/>
      </w:pPr>
    </w:lvl>
    <w:lvl w:ilvl="8" w:tentative="0">
      <w:start w:val="1"/>
      <w:numFmt w:val="none"/>
      <w:suff w:val="nothing"/>
      <w:lvlText w:val=""/>
      <w:lvlJc w:val="left"/>
      <w:pPr>
        <w:ind w:left="14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OTQ5ZWFhOWUxNjAxNjkzNDY3OGViYjUyY2U2YTYifQ=="/>
  </w:docVars>
  <w:rsids>
    <w:rsidRoot w:val="24D17C8B"/>
    <w:rsid w:val="0A2C12F3"/>
    <w:rsid w:val="10ED4953"/>
    <w:rsid w:val="14C3729D"/>
    <w:rsid w:val="1D943ED8"/>
    <w:rsid w:val="24D17C8B"/>
    <w:rsid w:val="331221AF"/>
    <w:rsid w:val="418A00F1"/>
    <w:rsid w:val="61374015"/>
    <w:rsid w:val="68C547D6"/>
    <w:rsid w:val="69D83530"/>
    <w:rsid w:val="72C616A4"/>
    <w:rsid w:val="7C5E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line="360" w:lineRule="auto"/>
      <w:ind w:left="240" w:firstLine="420" w:firstLineChars="200"/>
      <w:jc w:val="left"/>
    </w:pPr>
    <w:rPr>
      <w:rFonts w:ascii="宋体" w:hAnsi="宋体" w:eastAsia="等线" w:cs="Times New Roman"/>
      <w:kern w:val="0"/>
      <w:sz w:val="20"/>
      <w:szCs w:val="21"/>
    </w:rPr>
  </w:style>
  <w:style w:type="paragraph" w:styleId="5">
    <w:name w:val="Plain Text"/>
    <w:basedOn w:val="1"/>
    <w:autoRedefine/>
    <w:qFormat/>
    <w:uiPriority w:val="0"/>
    <w:rPr>
      <w:rFonts w:ascii="Courier New" w:hAnsi="Courier New" w:eastAsia="宋体" w:cs="Times New Roman"/>
      <w:szCs w:val="22"/>
    </w:rPr>
  </w:style>
  <w:style w:type="paragraph" w:styleId="6">
    <w:name w:val="Body Text Indent 2"/>
    <w:basedOn w:val="1"/>
    <w:next w:val="1"/>
    <w:autoRedefine/>
    <w:qFormat/>
    <w:uiPriority w:val="0"/>
    <w:pPr>
      <w:keepNext w:val="0"/>
      <w:keepLines w:val="0"/>
      <w:widowControl w:val="0"/>
      <w:suppressLineNumbers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bidi="ar"/>
    </w:rPr>
  </w:style>
  <w:style w:type="paragraph" w:styleId="7">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11">
    <w:name w:val="GW-正文"/>
    <w:basedOn w:val="1"/>
    <w:autoRedefine/>
    <w:qFormat/>
    <w:uiPriority w:val="0"/>
    <w:pPr>
      <w:spacing w:line="360" w:lineRule="auto"/>
      <w:ind w:firstLine="200" w:firstLineChars="200"/>
    </w:pPr>
    <w:rPr>
      <w:rFonts w:ascii="Times New Roman" w:hAnsi="Times New Roman" w:eastAsia="仿宋_GB2312" w:cs="Times New Roman"/>
      <w:sz w:val="24"/>
    </w:rPr>
  </w:style>
  <w:style w:type="character" w:customStyle="1" w:styleId="12">
    <w:name w:val="NormalCharacter"/>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2024-02-01T05:55:00Z</dcterms:created>
  <dc:creator>陶琳</dc:creator>
  <cp:lastModifiedBy>陶琳</cp:lastModifiedBy>
  <cp:lastPrinted>2024-02-01T05:56:00Z</cp:lastPrinted>
  <dcterms:modified xsi:type="dcterms:W3CDTF">2024-02-01T09:42:48Z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4E6FB184EE9C48F7984FD89E14EB47AD_11</vt:lpwstr>
  </property>
</Properties>
</file>